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41BB82" w14:textId="3796765C" w:rsidR="00F33A7B" w:rsidRPr="00F33A7B" w:rsidRDefault="00F33A7B" w:rsidP="00F33A7B">
      <w:pPr>
        <w:rPr>
          <w:sz w:val="22"/>
          <w:szCs w:val="22"/>
        </w:rPr>
      </w:pPr>
      <w:bookmarkStart w:id="0" w:name="_Hlk53405618"/>
      <w:r w:rsidRPr="00F33A7B">
        <w:rPr>
          <w:sz w:val="22"/>
          <w:szCs w:val="22"/>
        </w:rPr>
        <w:t>Załącznik</w:t>
      </w:r>
      <w:r w:rsidR="00804BA0">
        <w:rPr>
          <w:sz w:val="22"/>
          <w:szCs w:val="22"/>
        </w:rPr>
        <w:t xml:space="preserve"> </w:t>
      </w:r>
      <w:r w:rsidRPr="00F33A7B">
        <w:rPr>
          <w:sz w:val="22"/>
          <w:szCs w:val="22"/>
        </w:rPr>
        <w:t>B.</w:t>
      </w:r>
      <w:r w:rsidR="008B0BF1">
        <w:rPr>
          <w:sz w:val="22"/>
          <w:szCs w:val="22"/>
        </w:rPr>
        <w:t>1</w:t>
      </w:r>
      <w:r w:rsidR="00037739">
        <w:rPr>
          <w:sz w:val="22"/>
          <w:szCs w:val="22"/>
        </w:rPr>
        <w:t>4</w:t>
      </w:r>
      <w:r w:rsidRPr="00F33A7B">
        <w:rPr>
          <w:sz w:val="22"/>
          <w:szCs w:val="22"/>
        </w:rPr>
        <w:t>.</w:t>
      </w:r>
    </w:p>
    <w:p w14:paraId="7EC32245" w14:textId="77777777" w:rsidR="00F33A7B" w:rsidRPr="00F33A7B" w:rsidRDefault="00F33A7B" w:rsidP="00F33A7B">
      <w:pPr>
        <w:rPr>
          <w:sz w:val="22"/>
          <w:szCs w:val="22"/>
        </w:rPr>
      </w:pPr>
    </w:p>
    <w:p w14:paraId="2C941F08" w14:textId="701CEC79" w:rsidR="00E95229" w:rsidRPr="00F33A7B" w:rsidRDefault="008B0BF1" w:rsidP="00F33A7B">
      <w:pPr>
        <w:autoSpaceDE w:val="0"/>
        <w:autoSpaceDN w:val="0"/>
        <w:adjustRightInd w:val="0"/>
        <w:spacing w:after="240"/>
        <w:rPr>
          <w:b/>
          <w:bCs/>
          <w:sz w:val="28"/>
        </w:rPr>
      </w:pPr>
      <w:r w:rsidRPr="00284320">
        <w:rPr>
          <w:b/>
          <w:bCs/>
          <w:sz w:val="28"/>
        </w:rPr>
        <w:t>LECZENIE</w:t>
      </w:r>
      <w:r w:rsidR="00804BA0">
        <w:rPr>
          <w:b/>
          <w:bCs/>
          <w:sz w:val="28"/>
        </w:rPr>
        <w:t xml:space="preserve"> </w:t>
      </w:r>
      <w:r>
        <w:rPr>
          <w:b/>
          <w:bCs/>
          <w:sz w:val="28"/>
        </w:rPr>
        <w:t>C</w:t>
      </w:r>
      <w:r w:rsidRPr="00E25756">
        <w:rPr>
          <w:b/>
          <w:bCs/>
          <w:sz w:val="28"/>
        </w:rPr>
        <w:t>HORYCH</w:t>
      </w:r>
      <w:r w:rsidR="00804BA0">
        <w:rPr>
          <w:b/>
          <w:bCs/>
          <w:sz w:val="28"/>
        </w:rPr>
        <w:t xml:space="preserve"> </w:t>
      </w:r>
      <w:r w:rsidRPr="00E25756">
        <w:rPr>
          <w:b/>
          <w:bCs/>
          <w:sz w:val="28"/>
        </w:rPr>
        <w:t>NA</w:t>
      </w:r>
      <w:r w:rsidR="00804BA0">
        <w:rPr>
          <w:b/>
          <w:bCs/>
          <w:sz w:val="28"/>
        </w:rPr>
        <w:t xml:space="preserve"> </w:t>
      </w:r>
      <w:r w:rsidRPr="00411FF7">
        <w:rPr>
          <w:b/>
          <w:bCs/>
          <w:sz w:val="28"/>
        </w:rPr>
        <w:t>PRZEWLEKŁĄ</w:t>
      </w:r>
      <w:r w:rsidR="00804BA0">
        <w:rPr>
          <w:b/>
          <w:bCs/>
          <w:sz w:val="28"/>
        </w:rPr>
        <w:t xml:space="preserve"> </w:t>
      </w:r>
      <w:r w:rsidRPr="00411FF7">
        <w:rPr>
          <w:b/>
          <w:bCs/>
          <w:sz w:val="28"/>
        </w:rPr>
        <w:t>BIAŁACZKĘ</w:t>
      </w:r>
      <w:r w:rsidR="00804BA0">
        <w:rPr>
          <w:b/>
          <w:bCs/>
          <w:sz w:val="28"/>
        </w:rPr>
        <w:t xml:space="preserve"> </w:t>
      </w:r>
      <w:r w:rsidRPr="00411FF7">
        <w:rPr>
          <w:b/>
          <w:bCs/>
          <w:sz w:val="28"/>
        </w:rPr>
        <w:t>SZPIKOWĄ</w:t>
      </w:r>
      <w:r w:rsidR="00804BA0">
        <w:rPr>
          <w:b/>
          <w:bCs/>
          <w:sz w:val="28"/>
        </w:rPr>
        <w:t xml:space="preserve"> </w:t>
      </w:r>
      <w:r w:rsidRPr="00E25756">
        <w:rPr>
          <w:b/>
          <w:bCs/>
          <w:sz w:val="28"/>
        </w:rPr>
        <w:t>(ICD-10:</w:t>
      </w:r>
      <w:r w:rsidR="00804BA0">
        <w:rPr>
          <w:b/>
          <w:bCs/>
          <w:sz w:val="28"/>
        </w:rPr>
        <w:t xml:space="preserve"> </w:t>
      </w:r>
      <w:r w:rsidRPr="00E25756">
        <w:rPr>
          <w:b/>
          <w:bCs/>
          <w:sz w:val="28"/>
        </w:rPr>
        <w:t>C9</w:t>
      </w:r>
      <w:r>
        <w:rPr>
          <w:b/>
          <w:bCs/>
          <w:sz w:val="28"/>
        </w:rPr>
        <w:t>2</w:t>
      </w:r>
      <w:r w:rsidRPr="00E25756">
        <w:rPr>
          <w:b/>
          <w:bCs/>
          <w:sz w:val="28"/>
        </w:rPr>
        <w:t>.</w:t>
      </w:r>
      <w:r>
        <w:rPr>
          <w:b/>
          <w:bCs/>
          <w:sz w:val="28"/>
        </w:rPr>
        <w:t>1</w:t>
      </w:r>
      <w:r w:rsidRPr="00E25756">
        <w:rPr>
          <w:b/>
          <w:bCs/>
          <w:sz w:val="28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5"/>
        <w:gridCol w:w="4111"/>
        <w:gridCol w:w="5612"/>
      </w:tblGrid>
      <w:tr w:rsidR="0071052E" w:rsidRPr="0071052E" w14:paraId="70FCC206" w14:textId="77777777" w:rsidTr="00F64F73">
        <w:trPr>
          <w:trHeight w:val="567"/>
        </w:trPr>
        <w:tc>
          <w:tcPr>
            <w:tcW w:w="15388" w:type="dxa"/>
            <w:gridSpan w:val="3"/>
            <w:vAlign w:val="center"/>
          </w:tcPr>
          <w:p w14:paraId="6178C3CF" w14:textId="19A6EE49" w:rsidR="001D7CB9" w:rsidRPr="0071052E" w:rsidRDefault="001D7CB9" w:rsidP="00F33A7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71052E">
              <w:rPr>
                <w:b/>
                <w:bCs/>
                <w:color w:val="000000" w:themeColor="text1"/>
                <w:sz w:val="20"/>
                <w:szCs w:val="20"/>
              </w:rPr>
              <w:t>ZAKRES</w:t>
            </w:r>
            <w:r w:rsidR="00804BA0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1052E">
              <w:rPr>
                <w:b/>
                <w:bCs/>
                <w:color w:val="000000" w:themeColor="text1"/>
                <w:sz w:val="20"/>
                <w:szCs w:val="20"/>
              </w:rPr>
              <w:t>ŚWIADCZENIA</w:t>
            </w:r>
            <w:r w:rsidR="00804BA0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1052E">
              <w:rPr>
                <w:b/>
                <w:bCs/>
                <w:color w:val="000000" w:themeColor="text1"/>
                <w:sz w:val="20"/>
                <w:szCs w:val="20"/>
              </w:rPr>
              <w:t>GWARANTOWANEGO</w:t>
            </w:r>
          </w:p>
        </w:tc>
      </w:tr>
      <w:tr w:rsidR="0071052E" w:rsidRPr="0071052E" w14:paraId="433661AF" w14:textId="77777777" w:rsidTr="00F64F73">
        <w:trPr>
          <w:trHeight w:val="567"/>
        </w:trPr>
        <w:tc>
          <w:tcPr>
            <w:tcW w:w="5665" w:type="dxa"/>
            <w:vAlign w:val="center"/>
          </w:tcPr>
          <w:p w14:paraId="2BAC5A9D" w14:textId="77777777" w:rsidR="001D7CB9" w:rsidRPr="00281A18" w:rsidRDefault="001D7CB9" w:rsidP="00F33A7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81A18">
              <w:rPr>
                <w:b/>
                <w:bCs/>
                <w:color w:val="000000" w:themeColor="text1"/>
                <w:sz w:val="20"/>
                <w:szCs w:val="20"/>
              </w:rPr>
              <w:t>ŚWIADCZENIOBIORCY</w:t>
            </w:r>
          </w:p>
        </w:tc>
        <w:tc>
          <w:tcPr>
            <w:tcW w:w="4111" w:type="dxa"/>
            <w:vAlign w:val="center"/>
          </w:tcPr>
          <w:p w14:paraId="0E1D0B62" w14:textId="552F3006" w:rsidR="001D7CB9" w:rsidRPr="00281A18" w:rsidRDefault="001D7CB9" w:rsidP="00F33A7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81A18">
              <w:rPr>
                <w:b/>
                <w:bCs/>
                <w:color w:val="000000" w:themeColor="text1"/>
                <w:sz w:val="20"/>
                <w:szCs w:val="20"/>
              </w:rPr>
              <w:t>SCHEMAT</w:t>
            </w:r>
            <w:r w:rsidR="00804BA0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81A18">
              <w:rPr>
                <w:b/>
                <w:bCs/>
                <w:color w:val="000000" w:themeColor="text1"/>
                <w:sz w:val="20"/>
                <w:szCs w:val="20"/>
              </w:rPr>
              <w:t>DAWKOWANIA</w:t>
            </w:r>
            <w:r w:rsidR="00804BA0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81A18">
              <w:rPr>
                <w:b/>
                <w:bCs/>
                <w:color w:val="000000" w:themeColor="text1"/>
                <w:sz w:val="20"/>
                <w:szCs w:val="20"/>
              </w:rPr>
              <w:t>LEKÓW</w:t>
            </w:r>
            <w:r w:rsidR="00804BA0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804BA0">
              <w:rPr>
                <w:b/>
                <w:bCs/>
                <w:color w:val="000000" w:themeColor="text1"/>
                <w:sz w:val="20"/>
                <w:szCs w:val="20"/>
              </w:rPr>
              <w:br/>
            </w:r>
            <w:r w:rsidRPr="00281A18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804BA0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81A18">
              <w:rPr>
                <w:b/>
                <w:bCs/>
                <w:color w:val="000000" w:themeColor="text1"/>
                <w:sz w:val="20"/>
                <w:szCs w:val="20"/>
              </w:rPr>
              <w:t>PROGRAMIE</w:t>
            </w:r>
          </w:p>
        </w:tc>
        <w:tc>
          <w:tcPr>
            <w:tcW w:w="5612" w:type="dxa"/>
            <w:vAlign w:val="center"/>
          </w:tcPr>
          <w:p w14:paraId="0B4A79FC" w14:textId="0E523D5C" w:rsidR="001D7CB9" w:rsidRPr="0071052E" w:rsidRDefault="001D7CB9" w:rsidP="00F33A7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71052E">
              <w:rPr>
                <w:b/>
                <w:bCs/>
                <w:color w:val="000000" w:themeColor="text1"/>
                <w:sz w:val="20"/>
                <w:szCs w:val="20"/>
              </w:rPr>
              <w:t>BADANIA</w:t>
            </w:r>
            <w:r w:rsidR="00804BA0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1052E">
              <w:rPr>
                <w:b/>
                <w:bCs/>
                <w:color w:val="000000" w:themeColor="text1"/>
                <w:sz w:val="20"/>
                <w:szCs w:val="20"/>
              </w:rPr>
              <w:t>DIAGNOSTYCZNE</w:t>
            </w:r>
            <w:r w:rsidR="00804BA0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1052E">
              <w:rPr>
                <w:b/>
                <w:bCs/>
                <w:color w:val="000000" w:themeColor="text1"/>
                <w:sz w:val="20"/>
                <w:szCs w:val="20"/>
              </w:rPr>
              <w:t>WYKONYWANE</w:t>
            </w:r>
            <w:r w:rsidR="00804BA0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804BA0">
              <w:rPr>
                <w:b/>
                <w:bCs/>
                <w:color w:val="000000" w:themeColor="text1"/>
                <w:sz w:val="20"/>
                <w:szCs w:val="20"/>
              </w:rPr>
              <w:br/>
            </w:r>
            <w:r w:rsidRPr="0071052E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804BA0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1052E">
              <w:rPr>
                <w:b/>
                <w:bCs/>
                <w:color w:val="000000" w:themeColor="text1"/>
                <w:sz w:val="20"/>
                <w:szCs w:val="20"/>
              </w:rPr>
              <w:t>RAMACH</w:t>
            </w:r>
            <w:r w:rsidR="00804BA0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1052E">
              <w:rPr>
                <w:b/>
                <w:bCs/>
                <w:color w:val="000000" w:themeColor="text1"/>
                <w:sz w:val="20"/>
                <w:szCs w:val="20"/>
              </w:rPr>
              <w:t>PROGRAMU</w:t>
            </w:r>
          </w:p>
        </w:tc>
      </w:tr>
      <w:tr w:rsidR="001D7CB9" w:rsidRPr="0071052E" w14:paraId="1C0840FC" w14:textId="77777777" w:rsidTr="00F64F73">
        <w:trPr>
          <w:trHeight w:val="20"/>
        </w:trPr>
        <w:tc>
          <w:tcPr>
            <w:tcW w:w="5665" w:type="dxa"/>
          </w:tcPr>
          <w:p w14:paraId="04F96226" w14:textId="504D6419" w:rsidR="008B0BF1" w:rsidRPr="007C7AE6" w:rsidRDefault="008B0BF1" w:rsidP="008B0BF1">
            <w:pPr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sz w:val="20"/>
                <w:szCs w:val="20"/>
              </w:rPr>
            </w:pPr>
            <w:r w:rsidRPr="007C7AE6">
              <w:rPr>
                <w:sz w:val="20"/>
                <w:szCs w:val="20"/>
              </w:rPr>
              <w:t>W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ramach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programu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lekowego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chorym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na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oporną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lub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nawrotową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przewlekłą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białaczkę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szpikową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albo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chorym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z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nietolerancją</w:t>
            </w:r>
            <w:r w:rsidR="00804BA0">
              <w:rPr>
                <w:sz w:val="20"/>
                <w:szCs w:val="20"/>
              </w:rPr>
              <w:t xml:space="preserve"> </w:t>
            </w:r>
            <w:proofErr w:type="spellStart"/>
            <w:r w:rsidRPr="007C7AE6">
              <w:rPr>
                <w:i/>
                <w:iCs/>
                <w:sz w:val="20"/>
                <w:szCs w:val="20"/>
              </w:rPr>
              <w:t>imatynibu</w:t>
            </w:r>
            <w:proofErr w:type="spellEnd"/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udostępnia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się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terapie:</w:t>
            </w:r>
          </w:p>
          <w:p w14:paraId="6E36F4F0" w14:textId="77777777" w:rsidR="008B0BF1" w:rsidRPr="007C7AE6" w:rsidRDefault="008B0BF1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i/>
                <w:iCs/>
                <w:sz w:val="20"/>
                <w:szCs w:val="20"/>
              </w:rPr>
            </w:pPr>
            <w:proofErr w:type="spellStart"/>
            <w:r w:rsidRPr="007C7AE6">
              <w:rPr>
                <w:i/>
                <w:iCs/>
                <w:sz w:val="20"/>
                <w:szCs w:val="20"/>
              </w:rPr>
              <w:t>nilotynibem</w:t>
            </w:r>
            <w:proofErr w:type="spellEnd"/>
            <w:r w:rsidRPr="007C7AE6">
              <w:rPr>
                <w:i/>
                <w:iCs/>
                <w:sz w:val="20"/>
                <w:szCs w:val="20"/>
              </w:rPr>
              <w:t>,</w:t>
            </w:r>
          </w:p>
          <w:p w14:paraId="4D5F90AD" w14:textId="77777777" w:rsidR="008B0BF1" w:rsidRPr="007C7AE6" w:rsidRDefault="008B0BF1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i/>
                <w:iCs/>
                <w:sz w:val="20"/>
                <w:szCs w:val="20"/>
              </w:rPr>
            </w:pPr>
            <w:proofErr w:type="spellStart"/>
            <w:r w:rsidRPr="007C7AE6">
              <w:rPr>
                <w:i/>
                <w:iCs/>
                <w:sz w:val="20"/>
                <w:szCs w:val="20"/>
              </w:rPr>
              <w:t>bosutynibem</w:t>
            </w:r>
            <w:proofErr w:type="spellEnd"/>
            <w:r w:rsidRPr="007C7AE6">
              <w:rPr>
                <w:i/>
                <w:iCs/>
                <w:sz w:val="20"/>
                <w:szCs w:val="20"/>
              </w:rPr>
              <w:t>,</w:t>
            </w:r>
          </w:p>
          <w:p w14:paraId="663E0F7E" w14:textId="77777777" w:rsidR="008B0BF1" w:rsidRPr="007C7AE6" w:rsidRDefault="008B0BF1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i/>
                <w:iCs/>
                <w:sz w:val="20"/>
                <w:szCs w:val="20"/>
              </w:rPr>
            </w:pPr>
            <w:proofErr w:type="spellStart"/>
            <w:r w:rsidRPr="007C7AE6">
              <w:rPr>
                <w:i/>
                <w:iCs/>
                <w:sz w:val="20"/>
                <w:szCs w:val="20"/>
              </w:rPr>
              <w:t>ponatynibem</w:t>
            </w:r>
            <w:proofErr w:type="spellEnd"/>
            <w:r w:rsidRPr="007C7AE6">
              <w:rPr>
                <w:i/>
                <w:iCs/>
                <w:sz w:val="20"/>
                <w:szCs w:val="20"/>
              </w:rPr>
              <w:t>,</w:t>
            </w:r>
          </w:p>
          <w:p w14:paraId="75E53C06" w14:textId="77777777" w:rsidR="008B0BF1" w:rsidRPr="007C7AE6" w:rsidRDefault="008B0BF1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proofErr w:type="spellStart"/>
            <w:r w:rsidRPr="007C7AE6">
              <w:rPr>
                <w:i/>
                <w:iCs/>
                <w:sz w:val="20"/>
                <w:szCs w:val="20"/>
              </w:rPr>
              <w:t>asciminibem</w:t>
            </w:r>
            <w:proofErr w:type="spellEnd"/>
            <w:r w:rsidRPr="007C7AE6">
              <w:rPr>
                <w:sz w:val="20"/>
                <w:szCs w:val="20"/>
              </w:rPr>
              <w:t>,</w:t>
            </w:r>
          </w:p>
          <w:p w14:paraId="763C978E" w14:textId="55925E6C" w:rsidR="008B0BF1" w:rsidRPr="007C7AE6" w:rsidRDefault="008B0BF1" w:rsidP="008B0BF1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Cs/>
                <w:i/>
                <w:iCs/>
                <w:sz w:val="20"/>
                <w:szCs w:val="20"/>
              </w:rPr>
            </w:pPr>
            <w:r w:rsidRPr="007C7AE6">
              <w:rPr>
                <w:sz w:val="20"/>
                <w:szCs w:val="20"/>
                <w:u w:val="single"/>
              </w:rPr>
              <w:t>zgodnie</w:t>
            </w:r>
            <w:r w:rsidR="00804BA0">
              <w:rPr>
                <w:sz w:val="20"/>
                <w:szCs w:val="20"/>
                <w:u w:val="single"/>
              </w:rPr>
              <w:t xml:space="preserve"> </w:t>
            </w:r>
            <w:r w:rsidRPr="007C7AE6">
              <w:rPr>
                <w:sz w:val="20"/>
                <w:szCs w:val="20"/>
                <w:u w:val="single"/>
              </w:rPr>
              <w:t>ze</w:t>
            </w:r>
            <w:r w:rsidR="00804BA0">
              <w:rPr>
                <w:sz w:val="20"/>
                <w:szCs w:val="20"/>
                <w:u w:val="single"/>
              </w:rPr>
              <w:t xml:space="preserve"> </w:t>
            </w:r>
            <w:r w:rsidRPr="007C7AE6">
              <w:rPr>
                <w:sz w:val="20"/>
                <w:szCs w:val="20"/>
                <w:u w:val="single"/>
              </w:rPr>
              <w:t>wskazanymi</w:t>
            </w:r>
            <w:r w:rsidR="00804BA0">
              <w:rPr>
                <w:sz w:val="20"/>
                <w:szCs w:val="20"/>
                <w:u w:val="single"/>
              </w:rPr>
              <w:t xml:space="preserve"> </w:t>
            </w:r>
            <w:r w:rsidRPr="007C7AE6">
              <w:rPr>
                <w:sz w:val="20"/>
                <w:szCs w:val="20"/>
                <w:u w:val="single"/>
              </w:rPr>
              <w:t>w</w:t>
            </w:r>
            <w:r w:rsidR="00804BA0">
              <w:rPr>
                <w:sz w:val="20"/>
                <w:szCs w:val="20"/>
                <w:u w:val="single"/>
              </w:rPr>
              <w:t xml:space="preserve"> </w:t>
            </w:r>
            <w:r w:rsidRPr="007C7AE6">
              <w:rPr>
                <w:sz w:val="20"/>
                <w:szCs w:val="20"/>
                <w:u w:val="single"/>
              </w:rPr>
              <w:t>opisie</w:t>
            </w:r>
            <w:r w:rsidR="00804BA0">
              <w:rPr>
                <w:sz w:val="20"/>
                <w:szCs w:val="20"/>
                <w:u w:val="single"/>
              </w:rPr>
              <w:t xml:space="preserve"> </w:t>
            </w:r>
            <w:r w:rsidRPr="007C7AE6">
              <w:rPr>
                <w:sz w:val="20"/>
                <w:szCs w:val="20"/>
                <w:u w:val="single"/>
              </w:rPr>
              <w:t>programu</w:t>
            </w:r>
            <w:r w:rsidR="00804BA0">
              <w:rPr>
                <w:sz w:val="20"/>
                <w:szCs w:val="20"/>
                <w:u w:val="single"/>
              </w:rPr>
              <w:t xml:space="preserve"> </w:t>
            </w:r>
            <w:r w:rsidRPr="007C7AE6">
              <w:rPr>
                <w:sz w:val="20"/>
                <w:szCs w:val="20"/>
                <w:u w:val="single"/>
              </w:rPr>
              <w:t>warunkami</w:t>
            </w:r>
            <w:r w:rsidR="00804BA0">
              <w:rPr>
                <w:sz w:val="20"/>
                <w:szCs w:val="20"/>
                <w:u w:val="single"/>
              </w:rPr>
              <w:t xml:space="preserve"> </w:t>
            </w:r>
            <w:r w:rsidRPr="007C7AE6">
              <w:rPr>
                <w:sz w:val="20"/>
                <w:szCs w:val="20"/>
                <w:u w:val="single"/>
              </w:rPr>
              <w:t>i</w:t>
            </w:r>
            <w:r w:rsidR="00804BA0">
              <w:rPr>
                <w:sz w:val="20"/>
                <w:szCs w:val="20"/>
                <w:u w:val="single"/>
              </w:rPr>
              <w:t xml:space="preserve"> </w:t>
            </w:r>
            <w:r w:rsidRPr="007C7AE6">
              <w:rPr>
                <w:sz w:val="20"/>
                <w:szCs w:val="20"/>
                <w:u w:val="single"/>
              </w:rPr>
              <w:t>kryteriami.</w:t>
            </w:r>
          </w:p>
          <w:p w14:paraId="0D8F19A7" w14:textId="77777777" w:rsidR="008B0BF1" w:rsidRPr="007C7AE6" w:rsidRDefault="008B0BF1" w:rsidP="008B0BF1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</w:p>
          <w:p w14:paraId="45D7C0E8" w14:textId="265EB2DE" w:rsidR="008B0BF1" w:rsidRPr="007C7AE6" w:rsidRDefault="008B0BF1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7C7AE6">
              <w:rPr>
                <w:b/>
                <w:bCs/>
                <w:sz w:val="20"/>
                <w:szCs w:val="20"/>
              </w:rPr>
              <w:t>Kryteria</w:t>
            </w:r>
            <w:r w:rsidR="00804BA0">
              <w:rPr>
                <w:b/>
                <w:bCs/>
                <w:sz w:val="20"/>
                <w:szCs w:val="20"/>
              </w:rPr>
              <w:t xml:space="preserve"> </w:t>
            </w:r>
            <w:r w:rsidRPr="007C7AE6">
              <w:rPr>
                <w:b/>
                <w:bCs/>
                <w:sz w:val="20"/>
                <w:szCs w:val="20"/>
              </w:rPr>
              <w:t>kwalifikacji</w:t>
            </w:r>
          </w:p>
          <w:p w14:paraId="011068B0" w14:textId="26D858A5" w:rsidR="008B0BF1" w:rsidRPr="007C7AE6" w:rsidRDefault="008B0BF1" w:rsidP="008B0BF1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  <w:r w:rsidRPr="007C7AE6">
              <w:rPr>
                <w:color w:val="000000"/>
                <w:sz w:val="20"/>
                <w:szCs w:val="20"/>
              </w:rPr>
              <w:t>Muszą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zostać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spełnione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łącznie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kryteria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ogólne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(1.1.)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oraz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kryteria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szczegółowe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(1.2.)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dla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poszczególnych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terapii.</w:t>
            </w:r>
          </w:p>
          <w:p w14:paraId="6D8CEAB2" w14:textId="181F6DAA" w:rsidR="008B0BF1" w:rsidRPr="007C7AE6" w:rsidRDefault="008B0BF1">
            <w:pPr>
              <w:pStyle w:val="Akapitzlist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7C7AE6">
              <w:rPr>
                <w:b/>
                <w:bCs/>
                <w:color w:val="000000"/>
                <w:sz w:val="20"/>
                <w:szCs w:val="20"/>
              </w:rPr>
              <w:t>Ogólne</w:t>
            </w:r>
            <w:r w:rsidR="00804BA0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b/>
                <w:bCs/>
                <w:color w:val="000000"/>
                <w:sz w:val="20"/>
                <w:szCs w:val="20"/>
              </w:rPr>
              <w:t>kryteria</w:t>
            </w:r>
            <w:r w:rsidR="00804BA0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b/>
                <w:bCs/>
                <w:color w:val="000000"/>
                <w:sz w:val="20"/>
                <w:szCs w:val="20"/>
              </w:rPr>
              <w:t>kwalifikacji</w:t>
            </w:r>
          </w:p>
          <w:p w14:paraId="5214A8CC" w14:textId="2D2B4B19" w:rsidR="008B0BF1" w:rsidRPr="007C7AE6" w:rsidRDefault="008B0BF1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7C7AE6">
              <w:rPr>
                <w:color w:val="000000"/>
                <w:sz w:val="20"/>
                <w:szCs w:val="20"/>
              </w:rPr>
              <w:t>wiek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18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lat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i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powyżej;</w:t>
            </w:r>
          </w:p>
          <w:p w14:paraId="7D9C8255" w14:textId="475F0310" w:rsidR="008B0BF1" w:rsidRPr="007C7AE6" w:rsidRDefault="008B0BF1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C7AE6">
              <w:rPr>
                <w:sz w:val="20"/>
                <w:szCs w:val="20"/>
              </w:rPr>
              <w:t>stan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sprawności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0-2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według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skali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ECOG;</w:t>
            </w:r>
          </w:p>
          <w:p w14:paraId="7840EA1E" w14:textId="26BE9461" w:rsidR="008B0BF1" w:rsidRPr="007C7AE6" w:rsidRDefault="008B0BF1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C7AE6">
              <w:rPr>
                <w:sz w:val="20"/>
                <w:szCs w:val="20"/>
              </w:rPr>
              <w:t>rozpoznanie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przewlekłej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białaczki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szpikowej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z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udokumentowaną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obecnością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genu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i/>
                <w:iCs/>
                <w:sz w:val="20"/>
                <w:szCs w:val="20"/>
              </w:rPr>
              <w:t>BCR-ABL1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lub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chromosomu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Filadelfia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(Ph+);</w:t>
            </w:r>
          </w:p>
          <w:p w14:paraId="6D6268D2" w14:textId="5C85BF62" w:rsidR="008B0BF1" w:rsidRPr="007C7AE6" w:rsidRDefault="008B0BF1">
            <w:pPr>
              <w:pStyle w:val="Akapitzlist"/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7C7AE6">
              <w:rPr>
                <w:sz w:val="20"/>
                <w:szCs w:val="20"/>
              </w:rPr>
              <w:t>brak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przeciwwskazań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do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stosowania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leku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zgodnie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z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aktualną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Charakterystyką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Produktu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Leczniczego;</w:t>
            </w:r>
          </w:p>
          <w:p w14:paraId="735C3E17" w14:textId="1B633258" w:rsidR="008B0BF1" w:rsidRPr="007C7AE6" w:rsidRDefault="008B0BF1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C7AE6">
              <w:rPr>
                <w:sz w:val="20"/>
                <w:szCs w:val="20"/>
              </w:rPr>
              <w:lastRenderedPageBreak/>
              <w:t>brak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nadwrażliwości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na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lek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lub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którąkolwiek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substancję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pomocniczą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leku;</w:t>
            </w:r>
          </w:p>
          <w:p w14:paraId="34C6F7A9" w14:textId="14F077DA" w:rsidR="008B0BF1" w:rsidRPr="007C7AE6" w:rsidRDefault="008B0BF1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7C7AE6">
              <w:rPr>
                <w:bCs/>
                <w:sz w:val="20"/>
                <w:szCs w:val="20"/>
              </w:rPr>
              <w:t>adekwatna</w:t>
            </w:r>
            <w:r w:rsidR="00804BA0">
              <w:rPr>
                <w:bCs/>
                <w:sz w:val="20"/>
                <w:szCs w:val="20"/>
              </w:rPr>
              <w:t xml:space="preserve"> </w:t>
            </w:r>
            <w:r w:rsidRPr="007C7AE6">
              <w:rPr>
                <w:bCs/>
                <w:sz w:val="20"/>
                <w:szCs w:val="20"/>
              </w:rPr>
              <w:t>wydolność</w:t>
            </w:r>
            <w:r w:rsidR="00804BA0">
              <w:rPr>
                <w:bCs/>
                <w:sz w:val="20"/>
                <w:szCs w:val="20"/>
              </w:rPr>
              <w:t xml:space="preserve"> </w:t>
            </w:r>
            <w:r w:rsidRPr="007C7AE6">
              <w:rPr>
                <w:bCs/>
                <w:sz w:val="20"/>
                <w:szCs w:val="20"/>
              </w:rPr>
              <w:t>narządowa</w:t>
            </w:r>
            <w:r w:rsidR="00804BA0">
              <w:rPr>
                <w:bCs/>
                <w:sz w:val="20"/>
                <w:szCs w:val="20"/>
              </w:rPr>
              <w:t xml:space="preserve"> </w:t>
            </w:r>
            <w:r w:rsidRPr="007C7AE6">
              <w:rPr>
                <w:bCs/>
                <w:sz w:val="20"/>
                <w:szCs w:val="20"/>
              </w:rPr>
              <w:t>określona</w:t>
            </w:r>
            <w:r w:rsidR="00804BA0">
              <w:rPr>
                <w:bCs/>
                <w:sz w:val="20"/>
                <w:szCs w:val="20"/>
              </w:rPr>
              <w:t xml:space="preserve"> </w:t>
            </w:r>
            <w:r w:rsidRPr="007C7AE6">
              <w:rPr>
                <w:bCs/>
                <w:sz w:val="20"/>
                <w:szCs w:val="20"/>
              </w:rPr>
              <w:t>na</w:t>
            </w:r>
            <w:r w:rsidR="00804BA0">
              <w:rPr>
                <w:bCs/>
                <w:sz w:val="20"/>
                <w:szCs w:val="20"/>
              </w:rPr>
              <w:t xml:space="preserve"> </w:t>
            </w:r>
            <w:r w:rsidRPr="007C7AE6">
              <w:rPr>
                <w:bCs/>
                <w:sz w:val="20"/>
                <w:szCs w:val="20"/>
              </w:rPr>
              <w:t>podstawie</w:t>
            </w:r>
            <w:r w:rsidR="00804BA0">
              <w:rPr>
                <w:bCs/>
                <w:sz w:val="20"/>
                <w:szCs w:val="20"/>
              </w:rPr>
              <w:t xml:space="preserve"> </w:t>
            </w:r>
            <w:r w:rsidRPr="007C7AE6">
              <w:rPr>
                <w:bCs/>
                <w:sz w:val="20"/>
                <w:szCs w:val="20"/>
              </w:rPr>
              <w:t>wyników</w:t>
            </w:r>
            <w:r w:rsidR="00804BA0">
              <w:rPr>
                <w:bCs/>
                <w:sz w:val="20"/>
                <w:szCs w:val="20"/>
              </w:rPr>
              <w:t xml:space="preserve"> </w:t>
            </w:r>
            <w:r w:rsidRPr="007C7AE6">
              <w:rPr>
                <w:bCs/>
                <w:sz w:val="20"/>
                <w:szCs w:val="20"/>
              </w:rPr>
              <w:t>badań</w:t>
            </w:r>
            <w:r w:rsidR="00804BA0">
              <w:rPr>
                <w:bCs/>
                <w:sz w:val="20"/>
                <w:szCs w:val="20"/>
              </w:rPr>
              <w:t xml:space="preserve"> </w:t>
            </w:r>
            <w:r w:rsidRPr="007C7AE6">
              <w:rPr>
                <w:bCs/>
                <w:sz w:val="20"/>
                <w:szCs w:val="20"/>
              </w:rPr>
              <w:t>laboratoryjnych</w:t>
            </w:r>
            <w:r w:rsidR="00804BA0">
              <w:rPr>
                <w:bCs/>
                <w:sz w:val="20"/>
                <w:szCs w:val="20"/>
              </w:rPr>
              <w:t xml:space="preserve"> </w:t>
            </w:r>
            <w:r w:rsidRPr="007C7AE6">
              <w:rPr>
                <w:bCs/>
                <w:sz w:val="20"/>
                <w:szCs w:val="20"/>
              </w:rPr>
              <w:t>krwi</w:t>
            </w:r>
            <w:r w:rsidR="00804BA0">
              <w:rPr>
                <w:bCs/>
                <w:sz w:val="20"/>
                <w:szCs w:val="20"/>
              </w:rPr>
              <w:t xml:space="preserve"> </w:t>
            </w:r>
            <w:r w:rsidRPr="007C7AE6">
              <w:rPr>
                <w:bCs/>
                <w:sz w:val="20"/>
                <w:szCs w:val="20"/>
              </w:rPr>
              <w:t>umożliwiająca</w:t>
            </w:r>
            <w:r w:rsidR="00804BA0">
              <w:rPr>
                <w:bCs/>
                <w:sz w:val="20"/>
                <w:szCs w:val="20"/>
              </w:rPr>
              <w:t xml:space="preserve"> </w:t>
            </w:r>
            <w:r w:rsidRPr="007C7AE6">
              <w:rPr>
                <w:bCs/>
                <w:sz w:val="20"/>
                <w:szCs w:val="20"/>
              </w:rPr>
              <w:t>w</w:t>
            </w:r>
            <w:r w:rsidR="00804BA0">
              <w:rPr>
                <w:bCs/>
                <w:sz w:val="20"/>
                <w:szCs w:val="20"/>
              </w:rPr>
              <w:t xml:space="preserve"> </w:t>
            </w:r>
            <w:r w:rsidRPr="007C7AE6">
              <w:rPr>
                <w:bCs/>
                <w:sz w:val="20"/>
                <w:szCs w:val="20"/>
              </w:rPr>
              <w:t>opinii</w:t>
            </w:r>
            <w:r w:rsidR="00804BA0">
              <w:rPr>
                <w:bCs/>
                <w:sz w:val="20"/>
                <w:szCs w:val="20"/>
              </w:rPr>
              <w:t xml:space="preserve"> </w:t>
            </w:r>
            <w:r w:rsidRPr="007C7AE6">
              <w:rPr>
                <w:bCs/>
                <w:sz w:val="20"/>
                <w:szCs w:val="20"/>
              </w:rPr>
              <w:t>lekarza</w:t>
            </w:r>
            <w:r w:rsidR="00804BA0">
              <w:rPr>
                <w:bCs/>
                <w:sz w:val="20"/>
                <w:szCs w:val="20"/>
              </w:rPr>
              <w:t xml:space="preserve"> </w:t>
            </w:r>
            <w:r w:rsidRPr="007C7AE6">
              <w:rPr>
                <w:bCs/>
                <w:sz w:val="20"/>
                <w:szCs w:val="20"/>
              </w:rPr>
              <w:t>prowadzącego</w:t>
            </w:r>
            <w:r w:rsidR="00804BA0">
              <w:rPr>
                <w:bCs/>
                <w:sz w:val="20"/>
                <w:szCs w:val="20"/>
              </w:rPr>
              <w:t xml:space="preserve"> </w:t>
            </w:r>
            <w:r w:rsidRPr="007C7AE6">
              <w:rPr>
                <w:bCs/>
                <w:sz w:val="20"/>
                <w:szCs w:val="20"/>
              </w:rPr>
              <w:t>bezpieczne</w:t>
            </w:r>
            <w:r w:rsidR="00804BA0">
              <w:rPr>
                <w:bCs/>
                <w:sz w:val="20"/>
                <w:szCs w:val="20"/>
              </w:rPr>
              <w:t xml:space="preserve"> </w:t>
            </w:r>
            <w:r w:rsidRPr="007C7AE6">
              <w:rPr>
                <w:bCs/>
                <w:sz w:val="20"/>
                <w:szCs w:val="20"/>
              </w:rPr>
              <w:t>rozpoczęcie</w:t>
            </w:r>
            <w:r w:rsidR="00804BA0">
              <w:rPr>
                <w:bCs/>
                <w:sz w:val="20"/>
                <w:szCs w:val="20"/>
              </w:rPr>
              <w:t xml:space="preserve"> </w:t>
            </w:r>
            <w:r w:rsidRPr="007C7AE6">
              <w:rPr>
                <w:bCs/>
                <w:sz w:val="20"/>
                <w:szCs w:val="20"/>
              </w:rPr>
              <w:t>terapii.</w:t>
            </w:r>
          </w:p>
          <w:p w14:paraId="5017D93F" w14:textId="4173FE9B" w:rsidR="008B0BF1" w:rsidRPr="007C7AE6" w:rsidRDefault="008B0BF1" w:rsidP="008B0BF1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7C7AE6">
              <w:rPr>
                <w:sz w:val="20"/>
                <w:szCs w:val="20"/>
              </w:rPr>
              <w:t>W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ramach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programu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lekowego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nie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jest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możliwe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zastosowanie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więcej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niż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2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inhibitorów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kinazy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tyrozynowej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drugiej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generacji,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jeśli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stwierdza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się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oporność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na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te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leki.</w:t>
            </w:r>
            <w:r w:rsidR="00804BA0">
              <w:rPr>
                <w:sz w:val="20"/>
                <w:szCs w:val="20"/>
              </w:rPr>
              <w:t xml:space="preserve"> </w:t>
            </w:r>
          </w:p>
          <w:p w14:paraId="3DF63156" w14:textId="1F2F801C" w:rsidR="008B0BF1" w:rsidRPr="007C7AE6" w:rsidRDefault="008B0BF1" w:rsidP="008B0BF1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7C7AE6">
              <w:rPr>
                <w:sz w:val="20"/>
                <w:szCs w:val="20"/>
              </w:rPr>
              <w:t>W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przypadku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nietolerancji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inhibitorów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kinazy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tyrozynowej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drugiej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generacji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możliwe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jest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zastosowanie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3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inhibitorów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drugiej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generacji.</w:t>
            </w:r>
          </w:p>
          <w:p w14:paraId="28CF75DA" w14:textId="52661146" w:rsidR="008B0BF1" w:rsidRPr="007C7AE6" w:rsidRDefault="008B0BF1" w:rsidP="008B0BF1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7C7AE6">
              <w:rPr>
                <w:sz w:val="20"/>
                <w:szCs w:val="20"/>
              </w:rPr>
              <w:t>W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przypadku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ciąży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lub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karmienia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piersią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należy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postępować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zgodnie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z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aktualną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Charakterystyką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Produktu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Leczniczego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odpowiedniego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leku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oraz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aktualnymi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rekomendacjami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7AE6">
              <w:rPr>
                <w:color w:val="000000"/>
                <w:sz w:val="20"/>
                <w:szCs w:val="20"/>
              </w:rPr>
              <w:t>European</w:t>
            </w:r>
            <w:proofErr w:type="spellEnd"/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7AE6">
              <w:rPr>
                <w:color w:val="000000"/>
                <w:sz w:val="20"/>
                <w:szCs w:val="20"/>
              </w:rPr>
              <w:t>LeukemiaNet</w:t>
            </w:r>
            <w:proofErr w:type="spellEnd"/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lub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PALG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(</w:t>
            </w:r>
            <w:proofErr w:type="spellStart"/>
            <w:r w:rsidRPr="007C7AE6">
              <w:rPr>
                <w:color w:val="000000"/>
                <w:sz w:val="20"/>
                <w:szCs w:val="20"/>
              </w:rPr>
              <w:t>Polish</w:t>
            </w:r>
            <w:proofErr w:type="spellEnd"/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7AE6">
              <w:rPr>
                <w:color w:val="000000"/>
                <w:sz w:val="20"/>
                <w:szCs w:val="20"/>
              </w:rPr>
              <w:t>Adult</w:t>
            </w:r>
            <w:proofErr w:type="spellEnd"/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Leukemia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7AE6">
              <w:rPr>
                <w:color w:val="000000"/>
                <w:sz w:val="20"/>
                <w:szCs w:val="20"/>
              </w:rPr>
              <w:t>Group</w:t>
            </w:r>
            <w:proofErr w:type="spellEnd"/>
            <w:r w:rsidRPr="007C7AE6">
              <w:rPr>
                <w:color w:val="000000"/>
                <w:sz w:val="20"/>
                <w:szCs w:val="20"/>
              </w:rPr>
              <w:t>).</w:t>
            </w:r>
          </w:p>
          <w:p w14:paraId="39E8FC38" w14:textId="77777777" w:rsidR="008B0BF1" w:rsidRPr="007C7AE6" w:rsidRDefault="008B0BF1" w:rsidP="008B0BF1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360"/>
              <w:contextualSpacing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  <w:p w14:paraId="3A20C9E2" w14:textId="34062176" w:rsidR="008B0BF1" w:rsidRPr="007C7AE6" w:rsidRDefault="008B0BF1">
            <w:pPr>
              <w:pStyle w:val="Akapitzlist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7C7AE6">
              <w:rPr>
                <w:b/>
                <w:bCs/>
                <w:color w:val="000000"/>
                <w:sz w:val="20"/>
                <w:szCs w:val="20"/>
              </w:rPr>
              <w:t>Szczegółowe</w:t>
            </w:r>
            <w:r w:rsidR="00804BA0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b/>
                <w:bCs/>
                <w:color w:val="000000"/>
                <w:sz w:val="20"/>
                <w:szCs w:val="20"/>
              </w:rPr>
              <w:t>kryteria</w:t>
            </w:r>
            <w:r w:rsidR="00804BA0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b/>
                <w:bCs/>
                <w:color w:val="000000"/>
                <w:sz w:val="20"/>
                <w:szCs w:val="20"/>
              </w:rPr>
              <w:t>kwalifikacji</w:t>
            </w:r>
            <w:r w:rsidR="00804BA0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b/>
                <w:bCs/>
                <w:color w:val="000000"/>
                <w:sz w:val="20"/>
                <w:szCs w:val="20"/>
              </w:rPr>
              <w:t>do</w:t>
            </w:r>
            <w:r w:rsidR="00804BA0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b/>
                <w:bCs/>
                <w:color w:val="000000"/>
                <w:sz w:val="20"/>
                <w:szCs w:val="20"/>
              </w:rPr>
              <w:t>terapii</w:t>
            </w:r>
          </w:p>
          <w:p w14:paraId="16EDBF44" w14:textId="5CE2A277" w:rsidR="008B0BF1" w:rsidRPr="007C7AE6" w:rsidRDefault="008B0BF1">
            <w:pPr>
              <w:pStyle w:val="Akapitzlist"/>
              <w:numPr>
                <w:ilvl w:val="2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7C7AE6">
              <w:rPr>
                <w:b/>
                <w:bCs/>
                <w:i/>
                <w:iCs/>
                <w:color w:val="000000"/>
                <w:sz w:val="20"/>
                <w:szCs w:val="20"/>
              </w:rPr>
              <w:t>nilotynibem</w:t>
            </w:r>
            <w:proofErr w:type="spellEnd"/>
            <w:r w:rsidR="00804BA0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b/>
                <w:bCs/>
                <w:color w:val="000000"/>
                <w:sz w:val="20"/>
                <w:szCs w:val="20"/>
              </w:rPr>
              <w:t>lub</w:t>
            </w:r>
            <w:r w:rsidR="00804BA0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7AE6">
              <w:rPr>
                <w:b/>
                <w:bCs/>
                <w:i/>
                <w:iCs/>
                <w:color w:val="000000"/>
                <w:sz w:val="20"/>
                <w:szCs w:val="20"/>
              </w:rPr>
              <w:t>bosutynibem</w:t>
            </w:r>
            <w:proofErr w:type="spellEnd"/>
            <w:r w:rsidR="00804BA0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b/>
                <w:bCs/>
                <w:color w:val="000000"/>
                <w:sz w:val="20"/>
                <w:szCs w:val="20"/>
              </w:rPr>
              <w:t>–</w:t>
            </w:r>
            <w:r w:rsidR="00804BA0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b/>
                <w:bCs/>
                <w:color w:val="000000"/>
                <w:sz w:val="20"/>
                <w:szCs w:val="20"/>
              </w:rPr>
              <w:t>w</w:t>
            </w:r>
            <w:r w:rsidR="00804BA0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b/>
                <w:bCs/>
                <w:color w:val="000000"/>
                <w:sz w:val="20"/>
                <w:szCs w:val="20"/>
              </w:rPr>
              <w:t>przypadku</w:t>
            </w:r>
            <w:r w:rsidR="00804BA0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b/>
                <w:bCs/>
                <w:color w:val="000000"/>
                <w:sz w:val="20"/>
                <w:szCs w:val="20"/>
              </w:rPr>
              <w:t>przewlekłej</w:t>
            </w:r>
            <w:r w:rsidR="00804BA0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b/>
                <w:bCs/>
                <w:color w:val="000000"/>
                <w:sz w:val="20"/>
                <w:szCs w:val="20"/>
              </w:rPr>
              <w:t>białaczki</w:t>
            </w:r>
            <w:r w:rsidR="00804BA0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b/>
                <w:bCs/>
                <w:color w:val="000000"/>
                <w:sz w:val="20"/>
                <w:szCs w:val="20"/>
              </w:rPr>
              <w:t>szpikowej</w:t>
            </w:r>
            <w:r w:rsidR="00804BA0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b/>
                <w:bCs/>
                <w:color w:val="000000"/>
                <w:sz w:val="20"/>
                <w:szCs w:val="20"/>
              </w:rPr>
              <w:t>w</w:t>
            </w:r>
            <w:r w:rsidR="00804BA0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b/>
                <w:bCs/>
                <w:color w:val="000000"/>
                <w:sz w:val="20"/>
                <w:szCs w:val="20"/>
              </w:rPr>
              <w:t>fazie</w:t>
            </w:r>
            <w:r w:rsidR="00804BA0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b/>
                <w:bCs/>
                <w:color w:val="000000"/>
                <w:sz w:val="20"/>
                <w:szCs w:val="20"/>
              </w:rPr>
              <w:t>przewlekłej</w:t>
            </w:r>
            <w:r w:rsidR="00804BA0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b/>
                <w:bCs/>
                <w:color w:val="000000"/>
                <w:sz w:val="20"/>
                <w:szCs w:val="20"/>
              </w:rPr>
              <w:t>lub</w:t>
            </w:r>
            <w:r w:rsidR="00804BA0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b/>
                <w:bCs/>
                <w:color w:val="000000"/>
                <w:sz w:val="20"/>
                <w:szCs w:val="20"/>
              </w:rPr>
              <w:t>akceleracji</w:t>
            </w:r>
          </w:p>
          <w:p w14:paraId="39CF5737" w14:textId="773ED508" w:rsidR="008B0BF1" w:rsidRPr="007C7AE6" w:rsidRDefault="008B0BF1">
            <w:pPr>
              <w:pStyle w:val="Akapitzlist"/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i/>
                <w:iCs/>
                <w:color w:val="000000"/>
                <w:sz w:val="20"/>
                <w:szCs w:val="20"/>
              </w:rPr>
            </w:pPr>
            <w:r w:rsidRPr="007C7AE6">
              <w:rPr>
                <w:color w:val="000000"/>
                <w:sz w:val="20"/>
                <w:szCs w:val="20"/>
              </w:rPr>
              <w:t>przewlekła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białaczka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szpikowa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w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fazie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przewlekłej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lub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akceleracji;</w:t>
            </w:r>
          </w:p>
          <w:p w14:paraId="6251A5B5" w14:textId="208ADCA7" w:rsidR="008B0BF1" w:rsidRPr="007C7AE6" w:rsidRDefault="008B0BF1">
            <w:pPr>
              <w:pStyle w:val="Akapitzlist"/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i/>
                <w:iCs/>
                <w:color w:val="000000"/>
                <w:sz w:val="20"/>
                <w:szCs w:val="20"/>
              </w:rPr>
            </w:pPr>
            <w:r w:rsidRPr="007C7AE6">
              <w:rPr>
                <w:color w:val="000000"/>
                <w:sz w:val="20"/>
                <w:szCs w:val="20"/>
              </w:rPr>
              <w:t>stosowano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uprzednio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co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najmniej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jedną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linię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leczenia,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w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tym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leczenie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7AE6">
              <w:rPr>
                <w:i/>
                <w:iCs/>
                <w:color w:val="000000"/>
                <w:sz w:val="20"/>
                <w:szCs w:val="20"/>
              </w:rPr>
              <w:t>imatynibem</w:t>
            </w:r>
            <w:proofErr w:type="spellEnd"/>
            <w:r w:rsidRPr="007C7AE6">
              <w:rPr>
                <w:color w:val="000000"/>
                <w:sz w:val="20"/>
                <w:szCs w:val="20"/>
              </w:rPr>
              <w:t>;</w:t>
            </w:r>
          </w:p>
          <w:p w14:paraId="714EEA97" w14:textId="0F455CFF" w:rsidR="008B0BF1" w:rsidRPr="007C7AE6" w:rsidRDefault="008B0BF1">
            <w:pPr>
              <w:pStyle w:val="Akapitzlist"/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i/>
                <w:iCs/>
                <w:color w:val="000000"/>
                <w:sz w:val="20"/>
                <w:szCs w:val="20"/>
              </w:rPr>
            </w:pPr>
            <w:r w:rsidRPr="007C7AE6">
              <w:rPr>
                <w:color w:val="000000"/>
                <w:sz w:val="20"/>
                <w:szCs w:val="20"/>
              </w:rPr>
              <w:t>wystąpienie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co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najmniej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jednego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z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poniższych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warunków:</w:t>
            </w:r>
          </w:p>
          <w:p w14:paraId="7B8A9AE3" w14:textId="487E7FDD" w:rsidR="008B0BF1" w:rsidRPr="007C7AE6" w:rsidRDefault="008B0BF1">
            <w:pPr>
              <w:pStyle w:val="Akapitzlist"/>
              <w:numPr>
                <w:ilvl w:val="4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i/>
                <w:iCs/>
                <w:color w:val="000000"/>
                <w:sz w:val="20"/>
                <w:szCs w:val="20"/>
              </w:rPr>
            </w:pPr>
            <w:r w:rsidRPr="007C7AE6">
              <w:rPr>
                <w:color w:val="000000"/>
                <w:sz w:val="20"/>
                <w:szCs w:val="20"/>
              </w:rPr>
              <w:t>oporność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na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leczenie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7AE6">
              <w:rPr>
                <w:i/>
                <w:iCs/>
                <w:color w:val="000000"/>
                <w:sz w:val="20"/>
                <w:szCs w:val="20"/>
              </w:rPr>
              <w:t>imatynibem</w:t>
            </w:r>
            <w:proofErr w:type="spellEnd"/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oraz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obecność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mutacji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innej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niż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T315I,</w:t>
            </w:r>
          </w:p>
          <w:p w14:paraId="0F64F65F" w14:textId="77777777" w:rsidR="008B0BF1" w:rsidRPr="007C7AE6" w:rsidRDefault="008B0BF1" w:rsidP="008B0BF1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7C7AE6">
              <w:rPr>
                <w:color w:val="000000"/>
                <w:sz w:val="20"/>
                <w:szCs w:val="20"/>
              </w:rPr>
              <w:t>lub</w:t>
            </w:r>
          </w:p>
          <w:p w14:paraId="2F4C5063" w14:textId="7E14AE3B" w:rsidR="008B0BF1" w:rsidRPr="007C7AE6" w:rsidRDefault="008B0BF1">
            <w:pPr>
              <w:pStyle w:val="Akapitzlist"/>
              <w:numPr>
                <w:ilvl w:val="4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7C7AE6">
              <w:rPr>
                <w:color w:val="000000"/>
                <w:sz w:val="20"/>
                <w:szCs w:val="20"/>
              </w:rPr>
              <w:t>brak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remisji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hematologicznej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po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co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najmniej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3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miesiącach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leczenia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7AE6">
              <w:rPr>
                <w:i/>
                <w:iCs/>
                <w:color w:val="000000"/>
                <w:sz w:val="20"/>
                <w:szCs w:val="20"/>
              </w:rPr>
              <w:t>imatynibem</w:t>
            </w:r>
            <w:proofErr w:type="spellEnd"/>
            <w:r w:rsidRPr="007C7AE6">
              <w:rPr>
                <w:color w:val="000000"/>
                <w:sz w:val="20"/>
                <w:szCs w:val="20"/>
              </w:rPr>
              <w:t>,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</w:p>
          <w:p w14:paraId="1DB4B072" w14:textId="77777777" w:rsidR="008B0BF1" w:rsidRPr="007C7AE6" w:rsidRDefault="008B0BF1" w:rsidP="008B0BF1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7C7AE6">
              <w:rPr>
                <w:color w:val="000000"/>
                <w:sz w:val="20"/>
                <w:szCs w:val="20"/>
              </w:rPr>
              <w:t>lub</w:t>
            </w:r>
          </w:p>
          <w:p w14:paraId="37E1CE05" w14:textId="1C411749" w:rsidR="008B0BF1" w:rsidRPr="007C7AE6" w:rsidRDefault="008B0BF1">
            <w:pPr>
              <w:pStyle w:val="Akapitzlist"/>
              <w:numPr>
                <w:ilvl w:val="4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7C7AE6">
              <w:rPr>
                <w:color w:val="000000"/>
                <w:sz w:val="20"/>
                <w:szCs w:val="20"/>
              </w:rPr>
              <w:lastRenderedPageBreak/>
              <w:t>brak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częściowej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odpowiedzi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cytogenetycznej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lub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BCR-ABL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&gt;10%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IS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(MR</w:t>
            </w:r>
            <w:r w:rsidRPr="007C7AE6">
              <w:rPr>
                <w:color w:val="000000"/>
                <w:sz w:val="20"/>
                <w:szCs w:val="20"/>
                <w:vertAlign w:val="superscript"/>
              </w:rPr>
              <w:t>1</w:t>
            </w:r>
            <w:r w:rsidRPr="007C7AE6">
              <w:rPr>
                <w:color w:val="000000"/>
                <w:sz w:val="20"/>
                <w:szCs w:val="20"/>
              </w:rPr>
              <w:t>)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w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6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miesiącu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leczenia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7AE6">
              <w:rPr>
                <w:i/>
                <w:iCs/>
                <w:color w:val="000000"/>
                <w:sz w:val="20"/>
                <w:szCs w:val="20"/>
              </w:rPr>
              <w:t>imatynibem</w:t>
            </w:r>
            <w:proofErr w:type="spellEnd"/>
            <w:r w:rsidRPr="007C7AE6">
              <w:rPr>
                <w:color w:val="000000"/>
                <w:sz w:val="20"/>
                <w:szCs w:val="20"/>
              </w:rPr>
              <w:t>,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</w:p>
          <w:p w14:paraId="6CA97007" w14:textId="77777777" w:rsidR="008B0BF1" w:rsidRPr="007C7AE6" w:rsidRDefault="008B0BF1" w:rsidP="008B0BF1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7C7AE6">
              <w:rPr>
                <w:color w:val="000000"/>
                <w:sz w:val="20"/>
                <w:szCs w:val="20"/>
              </w:rPr>
              <w:t>lub</w:t>
            </w:r>
          </w:p>
          <w:p w14:paraId="3B3BB10F" w14:textId="5036F44F" w:rsidR="008B0BF1" w:rsidRPr="007C7AE6" w:rsidRDefault="008B0BF1">
            <w:pPr>
              <w:pStyle w:val="Akapitzlist"/>
              <w:numPr>
                <w:ilvl w:val="4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7C7AE6">
              <w:rPr>
                <w:color w:val="000000"/>
                <w:sz w:val="20"/>
                <w:szCs w:val="20"/>
              </w:rPr>
              <w:t>brak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całkowitej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odpowiedzi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cytogenetycznej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lub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BCR-ABL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&gt;1%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IS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(MR</w:t>
            </w:r>
            <w:r w:rsidRPr="007C7AE6">
              <w:rPr>
                <w:color w:val="000000"/>
                <w:sz w:val="20"/>
                <w:szCs w:val="20"/>
                <w:vertAlign w:val="superscript"/>
              </w:rPr>
              <w:t>2</w:t>
            </w:r>
            <w:r w:rsidRPr="007C7AE6">
              <w:rPr>
                <w:color w:val="000000"/>
                <w:sz w:val="20"/>
                <w:szCs w:val="20"/>
              </w:rPr>
              <w:t>)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po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12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miesiącach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leczenia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7AE6">
              <w:rPr>
                <w:i/>
                <w:iCs/>
                <w:color w:val="000000"/>
                <w:sz w:val="20"/>
                <w:szCs w:val="20"/>
              </w:rPr>
              <w:t>imatynibem</w:t>
            </w:r>
            <w:proofErr w:type="spellEnd"/>
            <w:r w:rsidRPr="007C7AE6">
              <w:rPr>
                <w:color w:val="000000"/>
                <w:sz w:val="20"/>
                <w:szCs w:val="20"/>
              </w:rPr>
              <w:t>,</w:t>
            </w:r>
          </w:p>
          <w:p w14:paraId="7C04514E" w14:textId="77777777" w:rsidR="008B0BF1" w:rsidRPr="007C7AE6" w:rsidRDefault="008B0BF1" w:rsidP="008B0BF1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7C7AE6">
              <w:rPr>
                <w:color w:val="000000"/>
                <w:sz w:val="20"/>
                <w:szCs w:val="20"/>
              </w:rPr>
              <w:t>lub</w:t>
            </w:r>
          </w:p>
          <w:p w14:paraId="4CB01AC4" w14:textId="4FFCFB1F" w:rsidR="008B0BF1" w:rsidRPr="007C7AE6" w:rsidRDefault="008B0BF1">
            <w:pPr>
              <w:pStyle w:val="Akapitzlist"/>
              <w:numPr>
                <w:ilvl w:val="4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7C7AE6">
              <w:rPr>
                <w:color w:val="000000"/>
                <w:sz w:val="20"/>
                <w:szCs w:val="20"/>
              </w:rPr>
              <w:t>utrata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osiągniętej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wcześniej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odpowiedzi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hematologicznej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lub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cytogenetycznej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lub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większej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molekularnej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MR</w:t>
            </w:r>
            <w:r w:rsidRPr="007C7AE6">
              <w:rPr>
                <w:color w:val="000000"/>
                <w:sz w:val="20"/>
                <w:szCs w:val="20"/>
                <w:vertAlign w:val="superscript"/>
              </w:rPr>
              <w:t>3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(tj.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po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utracie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odpowiedzi-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BCR-ABL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&gt;0,1%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IS),</w:t>
            </w:r>
          </w:p>
          <w:p w14:paraId="1AFFADBE" w14:textId="77777777" w:rsidR="008B0BF1" w:rsidRPr="007C7AE6" w:rsidRDefault="008B0BF1" w:rsidP="008B0BF1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7C7AE6">
              <w:rPr>
                <w:color w:val="000000"/>
                <w:sz w:val="20"/>
                <w:szCs w:val="20"/>
              </w:rPr>
              <w:t>lub</w:t>
            </w:r>
          </w:p>
          <w:p w14:paraId="5DB91203" w14:textId="60A63395" w:rsidR="008B0BF1" w:rsidRPr="007C7AE6" w:rsidRDefault="008B0BF1">
            <w:pPr>
              <w:pStyle w:val="Akapitzlist"/>
              <w:numPr>
                <w:ilvl w:val="4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7C7AE6">
              <w:rPr>
                <w:color w:val="000000"/>
                <w:sz w:val="20"/>
                <w:szCs w:val="20"/>
              </w:rPr>
              <w:t>progresja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choroby,</w:t>
            </w:r>
          </w:p>
          <w:p w14:paraId="1FF4DB94" w14:textId="77777777" w:rsidR="008B0BF1" w:rsidRPr="007C7AE6" w:rsidRDefault="008B0BF1" w:rsidP="008B0BF1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7C7AE6">
              <w:rPr>
                <w:color w:val="000000"/>
                <w:sz w:val="20"/>
                <w:szCs w:val="20"/>
              </w:rPr>
              <w:t>lub</w:t>
            </w:r>
          </w:p>
          <w:p w14:paraId="0F98721E" w14:textId="623D29C0" w:rsidR="008B0BF1" w:rsidRPr="007C7AE6" w:rsidRDefault="008B0BF1">
            <w:pPr>
              <w:pStyle w:val="Akapitzlist"/>
              <w:numPr>
                <w:ilvl w:val="4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7C7AE6">
              <w:rPr>
                <w:color w:val="000000"/>
                <w:sz w:val="20"/>
                <w:szCs w:val="20"/>
              </w:rPr>
              <w:t>nietolerancja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leczenia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7AE6">
              <w:rPr>
                <w:i/>
                <w:iCs/>
                <w:color w:val="000000"/>
                <w:sz w:val="20"/>
                <w:szCs w:val="20"/>
              </w:rPr>
              <w:t>imatynibem</w:t>
            </w:r>
            <w:proofErr w:type="spellEnd"/>
            <w:r w:rsidRPr="007C7AE6">
              <w:rPr>
                <w:color w:val="000000"/>
                <w:sz w:val="20"/>
                <w:szCs w:val="20"/>
              </w:rPr>
              <w:t>,</w:t>
            </w:r>
          </w:p>
          <w:p w14:paraId="665EA8F6" w14:textId="77777777" w:rsidR="008B0BF1" w:rsidRPr="007C7AE6" w:rsidRDefault="008B0BF1" w:rsidP="008B0BF1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7C7AE6">
              <w:rPr>
                <w:color w:val="000000"/>
                <w:sz w:val="20"/>
                <w:szCs w:val="20"/>
              </w:rPr>
              <w:t>lub</w:t>
            </w:r>
          </w:p>
          <w:p w14:paraId="5884CAD2" w14:textId="0C27D10F" w:rsidR="008B0BF1" w:rsidRPr="007C7AE6" w:rsidRDefault="008B0BF1">
            <w:pPr>
              <w:pStyle w:val="Akapitzlist"/>
              <w:numPr>
                <w:ilvl w:val="4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7C7AE6">
              <w:rPr>
                <w:color w:val="000000"/>
                <w:sz w:val="20"/>
                <w:szCs w:val="20"/>
              </w:rPr>
              <w:t>wcześniejsze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leczenie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przynajmniej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dwoma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inhibitorami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kinazy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tyrozynowej,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po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których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wystąpiła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nietolerancja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lub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niepowodzenie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leczenia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zgodnie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z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aktualnymi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rekomendacjami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7AE6">
              <w:rPr>
                <w:color w:val="000000"/>
                <w:sz w:val="20"/>
                <w:szCs w:val="20"/>
              </w:rPr>
              <w:t>European</w:t>
            </w:r>
            <w:proofErr w:type="spellEnd"/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7AE6">
              <w:rPr>
                <w:color w:val="000000"/>
                <w:sz w:val="20"/>
                <w:szCs w:val="20"/>
              </w:rPr>
              <w:t>LeukemiaNet</w:t>
            </w:r>
            <w:proofErr w:type="spellEnd"/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lub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PALG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(</w:t>
            </w:r>
            <w:proofErr w:type="spellStart"/>
            <w:r w:rsidRPr="007C7AE6">
              <w:rPr>
                <w:color w:val="000000"/>
                <w:sz w:val="20"/>
                <w:szCs w:val="20"/>
              </w:rPr>
              <w:t>Polish</w:t>
            </w:r>
            <w:proofErr w:type="spellEnd"/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7AE6">
              <w:rPr>
                <w:color w:val="000000"/>
                <w:sz w:val="20"/>
                <w:szCs w:val="20"/>
              </w:rPr>
              <w:t>Adult</w:t>
            </w:r>
            <w:proofErr w:type="spellEnd"/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Leukemia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7AE6">
              <w:rPr>
                <w:color w:val="000000"/>
                <w:sz w:val="20"/>
                <w:szCs w:val="20"/>
              </w:rPr>
              <w:t>Group</w:t>
            </w:r>
            <w:proofErr w:type="spellEnd"/>
            <w:r w:rsidRPr="007C7AE6">
              <w:rPr>
                <w:color w:val="000000"/>
                <w:sz w:val="20"/>
                <w:szCs w:val="20"/>
              </w:rPr>
              <w:t>).</w:t>
            </w:r>
          </w:p>
          <w:p w14:paraId="7965B1E1" w14:textId="77777777" w:rsidR="008B0BF1" w:rsidRPr="007C7AE6" w:rsidRDefault="008B0BF1" w:rsidP="008B0BF1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680"/>
              <w:contextualSpacing w:val="0"/>
              <w:jc w:val="both"/>
              <w:rPr>
                <w:color w:val="000000"/>
                <w:sz w:val="20"/>
                <w:szCs w:val="20"/>
              </w:rPr>
            </w:pPr>
          </w:p>
          <w:p w14:paraId="4D65EB8A" w14:textId="64CF182B" w:rsidR="008B0BF1" w:rsidRPr="007C7AE6" w:rsidRDefault="008B0BF1">
            <w:pPr>
              <w:pStyle w:val="Akapitzlist"/>
              <w:numPr>
                <w:ilvl w:val="2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7C7AE6">
              <w:rPr>
                <w:b/>
                <w:bCs/>
                <w:i/>
                <w:iCs/>
                <w:color w:val="000000"/>
                <w:sz w:val="20"/>
                <w:szCs w:val="20"/>
              </w:rPr>
              <w:t>bosutynibem</w:t>
            </w:r>
            <w:proofErr w:type="spellEnd"/>
            <w:r w:rsidR="00804BA0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b/>
                <w:bCs/>
                <w:color w:val="000000"/>
                <w:sz w:val="20"/>
                <w:szCs w:val="20"/>
              </w:rPr>
              <w:t>–</w:t>
            </w:r>
            <w:r w:rsidR="00804BA0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b/>
                <w:bCs/>
                <w:color w:val="000000"/>
                <w:sz w:val="20"/>
                <w:szCs w:val="20"/>
              </w:rPr>
              <w:t>w</w:t>
            </w:r>
            <w:r w:rsidR="00804BA0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b/>
                <w:bCs/>
                <w:color w:val="000000"/>
                <w:sz w:val="20"/>
                <w:szCs w:val="20"/>
              </w:rPr>
              <w:t>przypadku</w:t>
            </w:r>
            <w:r w:rsidR="00804BA0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b/>
                <w:bCs/>
                <w:color w:val="000000"/>
                <w:sz w:val="20"/>
                <w:szCs w:val="20"/>
              </w:rPr>
              <w:t>przewlekłej</w:t>
            </w:r>
            <w:r w:rsidR="00804BA0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b/>
                <w:bCs/>
                <w:color w:val="000000"/>
                <w:sz w:val="20"/>
                <w:szCs w:val="20"/>
              </w:rPr>
              <w:t>białaczki</w:t>
            </w:r>
            <w:r w:rsidR="00804BA0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b/>
                <w:bCs/>
                <w:color w:val="000000"/>
                <w:sz w:val="20"/>
                <w:szCs w:val="20"/>
              </w:rPr>
              <w:t>szpikowej</w:t>
            </w:r>
            <w:r w:rsidR="00804BA0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b/>
                <w:bCs/>
                <w:color w:val="000000"/>
                <w:sz w:val="20"/>
                <w:szCs w:val="20"/>
              </w:rPr>
              <w:t>w</w:t>
            </w:r>
            <w:r w:rsidR="00804BA0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b/>
                <w:bCs/>
                <w:color w:val="000000"/>
                <w:sz w:val="20"/>
                <w:szCs w:val="20"/>
              </w:rPr>
              <w:t>fazie</w:t>
            </w:r>
            <w:r w:rsidR="00804BA0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b/>
                <w:bCs/>
                <w:color w:val="000000"/>
                <w:sz w:val="20"/>
                <w:szCs w:val="20"/>
              </w:rPr>
              <w:t>kryzy</w:t>
            </w:r>
            <w:r w:rsidR="00804BA0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b/>
                <w:bCs/>
                <w:color w:val="000000"/>
                <w:sz w:val="20"/>
                <w:szCs w:val="20"/>
              </w:rPr>
              <w:t>blastycznej</w:t>
            </w:r>
          </w:p>
          <w:p w14:paraId="5A09EF10" w14:textId="45916A1B" w:rsidR="008B0BF1" w:rsidRPr="007C7AE6" w:rsidRDefault="008B0BF1">
            <w:pPr>
              <w:pStyle w:val="Akapitzlist"/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7C7AE6">
              <w:rPr>
                <w:color w:val="000000"/>
                <w:sz w:val="20"/>
                <w:szCs w:val="20"/>
              </w:rPr>
              <w:t>przewlekła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białaczka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szpikowa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w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fazie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kryzy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blastycznej;</w:t>
            </w:r>
          </w:p>
          <w:p w14:paraId="4A252229" w14:textId="51E14F27" w:rsidR="008B0BF1" w:rsidRPr="007C7AE6" w:rsidRDefault="008B0BF1">
            <w:pPr>
              <w:pStyle w:val="Akapitzlist"/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7C7AE6">
              <w:rPr>
                <w:sz w:val="20"/>
                <w:szCs w:val="20"/>
              </w:rPr>
              <w:t>wcześniejsze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leczenie</w:t>
            </w:r>
            <w:r w:rsidR="00804BA0">
              <w:rPr>
                <w:sz w:val="20"/>
                <w:szCs w:val="20"/>
              </w:rPr>
              <w:t xml:space="preserve"> </w:t>
            </w:r>
            <w:proofErr w:type="spellStart"/>
            <w:r w:rsidR="002B55B0">
              <w:rPr>
                <w:sz w:val="20"/>
                <w:szCs w:val="20"/>
              </w:rPr>
              <w:t>imatynibem</w:t>
            </w:r>
            <w:proofErr w:type="spellEnd"/>
            <w:r w:rsidR="002B55B0">
              <w:rPr>
                <w:sz w:val="20"/>
                <w:szCs w:val="20"/>
              </w:rPr>
              <w:t xml:space="preserve"> lub innym </w:t>
            </w:r>
            <w:r w:rsidRPr="007C7AE6">
              <w:rPr>
                <w:sz w:val="20"/>
                <w:szCs w:val="20"/>
              </w:rPr>
              <w:t>inhibitor</w:t>
            </w:r>
            <w:r w:rsidR="002B55B0">
              <w:rPr>
                <w:sz w:val="20"/>
                <w:szCs w:val="20"/>
              </w:rPr>
              <w:t>em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kinazy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tyrozynowej,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po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który</w:t>
            </w:r>
            <w:r w:rsidR="0011757B">
              <w:rPr>
                <w:sz w:val="20"/>
                <w:szCs w:val="20"/>
              </w:rPr>
              <w:t>m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wystąpiła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nietolerancja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lub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niepowodzenie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leczenia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zgodnie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z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rekomendacjami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7AE6">
              <w:rPr>
                <w:color w:val="000000"/>
                <w:sz w:val="20"/>
                <w:szCs w:val="20"/>
              </w:rPr>
              <w:t>European</w:t>
            </w:r>
            <w:proofErr w:type="spellEnd"/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7AE6">
              <w:rPr>
                <w:color w:val="000000"/>
                <w:sz w:val="20"/>
                <w:szCs w:val="20"/>
              </w:rPr>
              <w:t>LeukemiaNet</w:t>
            </w:r>
            <w:proofErr w:type="spellEnd"/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lub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PALG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(</w:t>
            </w:r>
            <w:proofErr w:type="spellStart"/>
            <w:r w:rsidRPr="007C7AE6">
              <w:rPr>
                <w:color w:val="000000"/>
                <w:sz w:val="20"/>
                <w:szCs w:val="20"/>
              </w:rPr>
              <w:t>Polish</w:t>
            </w:r>
            <w:proofErr w:type="spellEnd"/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7AE6">
              <w:rPr>
                <w:color w:val="000000"/>
                <w:sz w:val="20"/>
                <w:szCs w:val="20"/>
              </w:rPr>
              <w:t>Adult</w:t>
            </w:r>
            <w:proofErr w:type="spellEnd"/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Leukemia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7AE6">
              <w:rPr>
                <w:color w:val="000000"/>
                <w:sz w:val="20"/>
                <w:szCs w:val="20"/>
              </w:rPr>
              <w:t>Group</w:t>
            </w:r>
            <w:proofErr w:type="spellEnd"/>
            <w:r w:rsidRPr="007C7AE6">
              <w:rPr>
                <w:color w:val="000000"/>
                <w:sz w:val="20"/>
                <w:szCs w:val="20"/>
              </w:rPr>
              <w:t>).</w:t>
            </w:r>
          </w:p>
          <w:p w14:paraId="0D9C6793" w14:textId="77777777" w:rsidR="008B0BF1" w:rsidRPr="007C7AE6" w:rsidRDefault="008B0BF1" w:rsidP="008B0BF1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color w:val="000000"/>
                <w:sz w:val="20"/>
                <w:szCs w:val="20"/>
              </w:rPr>
            </w:pPr>
          </w:p>
          <w:p w14:paraId="443E1C5D" w14:textId="5D068903" w:rsidR="008B0BF1" w:rsidRPr="007C7AE6" w:rsidRDefault="008B0BF1">
            <w:pPr>
              <w:pStyle w:val="Akapitzlist"/>
              <w:numPr>
                <w:ilvl w:val="2"/>
                <w:numId w:val="3"/>
              </w:numPr>
              <w:spacing w:after="60" w:line="276" w:lineRule="auto"/>
              <w:contextualSpacing w:val="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7C7AE6">
              <w:rPr>
                <w:b/>
                <w:bCs/>
                <w:i/>
                <w:iCs/>
                <w:sz w:val="20"/>
                <w:szCs w:val="20"/>
              </w:rPr>
              <w:t>ponatynibem</w:t>
            </w:r>
            <w:proofErr w:type="spellEnd"/>
            <w:r w:rsidR="00804BA0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  <w:p w14:paraId="1DD2EAD6" w14:textId="74A9824D" w:rsidR="008B0BF1" w:rsidRPr="007C7AE6" w:rsidRDefault="008B0BF1">
            <w:pPr>
              <w:pStyle w:val="Akapitzlist"/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i/>
                <w:iCs/>
                <w:color w:val="000000"/>
                <w:sz w:val="20"/>
                <w:szCs w:val="20"/>
              </w:rPr>
            </w:pPr>
            <w:r w:rsidRPr="007C7AE6">
              <w:rPr>
                <w:color w:val="000000"/>
                <w:sz w:val="20"/>
                <w:szCs w:val="20"/>
              </w:rPr>
              <w:lastRenderedPageBreak/>
              <w:t>przewlekła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białaczka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szpikowa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w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fazie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przewlekłej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lub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akceleracji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lub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kryzy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blastycznej;</w:t>
            </w:r>
          </w:p>
          <w:p w14:paraId="3F87DF6C" w14:textId="1AE01C52" w:rsidR="008B0BF1" w:rsidRPr="007C7AE6" w:rsidRDefault="008B0BF1">
            <w:pPr>
              <w:pStyle w:val="Akapitzlist"/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i/>
                <w:iCs/>
                <w:color w:val="000000"/>
                <w:sz w:val="20"/>
                <w:szCs w:val="20"/>
              </w:rPr>
            </w:pPr>
            <w:r w:rsidRPr="007C7AE6">
              <w:rPr>
                <w:color w:val="000000"/>
                <w:sz w:val="20"/>
                <w:szCs w:val="20"/>
              </w:rPr>
              <w:t>stosowano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uprzednio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co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najmniej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jedną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linię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leczenia,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w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tym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leczenie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7AE6">
              <w:rPr>
                <w:i/>
                <w:iCs/>
                <w:color w:val="000000"/>
                <w:sz w:val="20"/>
                <w:szCs w:val="20"/>
              </w:rPr>
              <w:t>imatynibem</w:t>
            </w:r>
            <w:proofErr w:type="spellEnd"/>
            <w:r w:rsidRPr="007C7AE6">
              <w:rPr>
                <w:color w:val="000000"/>
                <w:sz w:val="20"/>
                <w:szCs w:val="20"/>
              </w:rPr>
              <w:t>;</w:t>
            </w:r>
          </w:p>
          <w:p w14:paraId="5A92F73E" w14:textId="3C0813C8" w:rsidR="008B0BF1" w:rsidRPr="007C7AE6" w:rsidRDefault="008B0BF1">
            <w:pPr>
              <w:pStyle w:val="Akapitzlist"/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i/>
                <w:iCs/>
                <w:color w:val="000000"/>
                <w:sz w:val="20"/>
                <w:szCs w:val="20"/>
              </w:rPr>
            </w:pPr>
            <w:r w:rsidRPr="007C7AE6">
              <w:rPr>
                <w:color w:val="000000"/>
                <w:sz w:val="20"/>
                <w:szCs w:val="20"/>
              </w:rPr>
              <w:t>wystąpienie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co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najmniej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jednego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z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poniższych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warunków: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</w:p>
          <w:p w14:paraId="5323EA87" w14:textId="748A9AEC" w:rsidR="008B0BF1" w:rsidRPr="007C7AE6" w:rsidRDefault="008B0BF1">
            <w:pPr>
              <w:pStyle w:val="Akapitzlist"/>
              <w:numPr>
                <w:ilvl w:val="4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i/>
                <w:iCs/>
                <w:color w:val="000000"/>
                <w:sz w:val="20"/>
                <w:szCs w:val="20"/>
              </w:rPr>
            </w:pPr>
            <w:r w:rsidRPr="007C7AE6">
              <w:rPr>
                <w:color w:val="000000"/>
                <w:sz w:val="20"/>
                <w:szCs w:val="20"/>
              </w:rPr>
              <w:t>oporność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na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leczenie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7AE6">
              <w:rPr>
                <w:i/>
                <w:iCs/>
                <w:color w:val="000000"/>
                <w:sz w:val="20"/>
                <w:szCs w:val="20"/>
              </w:rPr>
              <w:t>imatynibem</w:t>
            </w:r>
            <w:proofErr w:type="spellEnd"/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związana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z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wykrytą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mutacją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T315I</w:t>
            </w:r>
          </w:p>
          <w:p w14:paraId="23E91131" w14:textId="77777777" w:rsidR="008B0BF1" w:rsidRPr="007C7AE6" w:rsidRDefault="008B0BF1" w:rsidP="008B0BF1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7C7AE6">
              <w:rPr>
                <w:color w:val="000000"/>
                <w:sz w:val="20"/>
                <w:szCs w:val="20"/>
              </w:rPr>
              <w:t>lub</w:t>
            </w:r>
          </w:p>
          <w:p w14:paraId="3F45379A" w14:textId="758E5F0B" w:rsidR="008B0BF1" w:rsidRPr="007C7AE6" w:rsidRDefault="008B0BF1">
            <w:pPr>
              <w:pStyle w:val="Akapitzlist"/>
              <w:numPr>
                <w:ilvl w:val="4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7C7AE6">
              <w:rPr>
                <w:sz w:val="20"/>
                <w:szCs w:val="20"/>
              </w:rPr>
              <w:t>wcześniejsze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leczenie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przynajmniej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dwoma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inhibitorami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kinazy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tyrozynowej,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po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których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wystąpiła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nietolerancja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lub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niepowodzenie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leczenia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zgodnie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z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aktualnymi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rekomendacjami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7AE6">
              <w:rPr>
                <w:color w:val="000000"/>
                <w:sz w:val="20"/>
                <w:szCs w:val="20"/>
              </w:rPr>
              <w:t>European</w:t>
            </w:r>
            <w:proofErr w:type="spellEnd"/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7AE6">
              <w:rPr>
                <w:color w:val="000000"/>
                <w:sz w:val="20"/>
                <w:szCs w:val="20"/>
              </w:rPr>
              <w:t>LeukemiaNet</w:t>
            </w:r>
            <w:proofErr w:type="spellEnd"/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lub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PALG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(</w:t>
            </w:r>
            <w:proofErr w:type="spellStart"/>
            <w:r w:rsidRPr="007C7AE6">
              <w:rPr>
                <w:color w:val="000000"/>
                <w:sz w:val="20"/>
                <w:szCs w:val="20"/>
              </w:rPr>
              <w:t>Polish</w:t>
            </w:r>
            <w:proofErr w:type="spellEnd"/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7AE6">
              <w:rPr>
                <w:color w:val="000000"/>
                <w:sz w:val="20"/>
                <w:szCs w:val="20"/>
              </w:rPr>
              <w:t>Adult</w:t>
            </w:r>
            <w:proofErr w:type="spellEnd"/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Leukemia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7AE6">
              <w:rPr>
                <w:color w:val="000000"/>
                <w:sz w:val="20"/>
                <w:szCs w:val="20"/>
              </w:rPr>
              <w:t>Group</w:t>
            </w:r>
            <w:proofErr w:type="spellEnd"/>
            <w:r w:rsidRPr="007C7AE6">
              <w:rPr>
                <w:color w:val="000000"/>
                <w:sz w:val="20"/>
                <w:szCs w:val="20"/>
              </w:rPr>
              <w:t>).</w:t>
            </w:r>
          </w:p>
          <w:p w14:paraId="5D72EEA1" w14:textId="77777777" w:rsidR="008B0BF1" w:rsidRPr="007C7AE6" w:rsidRDefault="008B0BF1" w:rsidP="008B0BF1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</w:p>
          <w:p w14:paraId="1D396E9B" w14:textId="77777777" w:rsidR="008B0BF1" w:rsidRPr="007C7AE6" w:rsidRDefault="008B0BF1">
            <w:pPr>
              <w:pStyle w:val="Akapitzlist"/>
              <w:numPr>
                <w:ilvl w:val="2"/>
                <w:numId w:val="3"/>
              </w:numPr>
              <w:spacing w:after="60" w:line="276" w:lineRule="auto"/>
              <w:contextualSpacing w:val="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7C7AE6">
              <w:rPr>
                <w:b/>
                <w:bCs/>
                <w:i/>
                <w:iCs/>
                <w:sz w:val="20"/>
                <w:szCs w:val="20"/>
              </w:rPr>
              <w:t>asciminibem</w:t>
            </w:r>
            <w:proofErr w:type="spellEnd"/>
          </w:p>
          <w:p w14:paraId="3F54FB2A" w14:textId="6C50F0CE" w:rsidR="008B0BF1" w:rsidRPr="007C7AE6" w:rsidRDefault="008B0BF1">
            <w:pPr>
              <w:pStyle w:val="Akapitzlist"/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i/>
                <w:iCs/>
                <w:color w:val="000000"/>
                <w:sz w:val="20"/>
                <w:szCs w:val="20"/>
              </w:rPr>
            </w:pPr>
            <w:r w:rsidRPr="007C7AE6">
              <w:rPr>
                <w:color w:val="000000"/>
                <w:sz w:val="20"/>
                <w:szCs w:val="20"/>
              </w:rPr>
              <w:t>przewlekła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białaczka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szpikowa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w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fazie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przewlekłej;</w:t>
            </w:r>
          </w:p>
          <w:p w14:paraId="3A343F58" w14:textId="6D379943" w:rsidR="008B0BF1" w:rsidRPr="007C7AE6" w:rsidRDefault="008B0BF1">
            <w:pPr>
              <w:pStyle w:val="Akapitzlist"/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i/>
                <w:iCs/>
                <w:color w:val="000000"/>
                <w:sz w:val="20"/>
                <w:szCs w:val="20"/>
              </w:rPr>
            </w:pPr>
            <w:r w:rsidRPr="007C7AE6">
              <w:rPr>
                <w:color w:val="000000"/>
                <w:sz w:val="20"/>
                <w:szCs w:val="20"/>
              </w:rPr>
              <w:t>stosowano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uprzednio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co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najmniej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dwie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linie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leczenia;</w:t>
            </w:r>
          </w:p>
          <w:p w14:paraId="016ED895" w14:textId="50027B01" w:rsidR="008B0BF1" w:rsidRPr="007C7AE6" w:rsidRDefault="008B0BF1">
            <w:pPr>
              <w:pStyle w:val="Akapitzlist"/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i/>
                <w:iCs/>
                <w:color w:val="000000"/>
                <w:sz w:val="20"/>
                <w:szCs w:val="20"/>
              </w:rPr>
            </w:pPr>
            <w:r w:rsidRPr="007C7AE6">
              <w:rPr>
                <w:sz w:val="20"/>
                <w:szCs w:val="20"/>
              </w:rPr>
              <w:t>wcześniejsze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leczenie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przynajmniej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dwoma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inhibitorami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kinazy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tyrozynowej,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po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których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wystąpiła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nietolerancja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lub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niepowodzenie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leczenia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zgodnie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z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aktualnymi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rekomendacjami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7AE6">
              <w:rPr>
                <w:color w:val="000000"/>
                <w:sz w:val="20"/>
                <w:szCs w:val="20"/>
              </w:rPr>
              <w:t>European</w:t>
            </w:r>
            <w:proofErr w:type="spellEnd"/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7AE6">
              <w:rPr>
                <w:color w:val="000000"/>
                <w:sz w:val="20"/>
                <w:szCs w:val="20"/>
              </w:rPr>
              <w:t>LeukemiaNet</w:t>
            </w:r>
            <w:proofErr w:type="spellEnd"/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lub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PALG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(</w:t>
            </w:r>
            <w:proofErr w:type="spellStart"/>
            <w:r w:rsidRPr="007C7AE6">
              <w:rPr>
                <w:color w:val="000000"/>
                <w:sz w:val="20"/>
                <w:szCs w:val="20"/>
              </w:rPr>
              <w:t>Polish</w:t>
            </w:r>
            <w:proofErr w:type="spellEnd"/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7AE6">
              <w:rPr>
                <w:color w:val="000000"/>
                <w:sz w:val="20"/>
                <w:szCs w:val="20"/>
              </w:rPr>
              <w:t>Adult</w:t>
            </w:r>
            <w:proofErr w:type="spellEnd"/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Leukemia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7AE6">
              <w:rPr>
                <w:color w:val="000000"/>
                <w:sz w:val="20"/>
                <w:szCs w:val="20"/>
              </w:rPr>
              <w:t>Group</w:t>
            </w:r>
            <w:proofErr w:type="spellEnd"/>
            <w:r w:rsidRPr="007C7AE6">
              <w:rPr>
                <w:color w:val="000000"/>
                <w:sz w:val="20"/>
                <w:szCs w:val="20"/>
              </w:rPr>
              <w:t>).</w:t>
            </w:r>
          </w:p>
          <w:p w14:paraId="147775CB" w14:textId="77777777" w:rsidR="008B0BF1" w:rsidRPr="007C7AE6" w:rsidRDefault="008B0BF1" w:rsidP="008B0BF1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45EE9FEC" w14:textId="61245F60" w:rsidR="008B0BF1" w:rsidRPr="007C7AE6" w:rsidRDefault="008B0BF1" w:rsidP="008B0BF1">
            <w:pPr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  <w:r w:rsidRPr="007C7AE6">
              <w:rPr>
                <w:sz w:val="20"/>
                <w:szCs w:val="20"/>
              </w:rPr>
              <w:t>Ponadto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do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programu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lekowego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kwalifikowani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są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również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pacjenci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wymagający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kontynuacji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leczenia,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którzy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byli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leczeni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substancjami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czynnymi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finansowanymi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w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programie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lekowym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w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ramach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innego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sposobu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finansowania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terapii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(za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wyjątkiem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trwających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badań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klinicznych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tych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leków),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pod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warunkiem,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że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w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chwili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rozpoczęcia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leczenia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spełniali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kryteria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kwalifikacji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do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programu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lekowego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–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dotyczy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każdej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z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terapii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w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programie.</w:t>
            </w:r>
          </w:p>
          <w:p w14:paraId="6E7A0865" w14:textId="77777777" w:rsidR="008B0BF1" w:rsidRPr="007C7AE6" w:rsidRDefault="008B0BF1" w:rsidP="008B0BF1">
            <w:pPr>
              <w:pStyle w:val="Akapitzlist"/>
              <w:spacing w:after="60" w:line="276" w:lineRule="auto"/>
              <w:ind w:left="360"/>
              <w:contextualSpacing w:val="0"/>
              <w:jc w:val="both"/>
              <w:rPr>
                <w:color w:val="000000"/>
                <w:sz w:val="20"/>
                <w:szCs w:val="20"/>
              </w:rPr>
            </w:pPr>
          </w:p>
          <w:p w14:paraId="5AA1032D" w14:textId="345A54F1" w:rsidR="008B0BF1" w:rsidRPr="007C7AE6" w:rsidRDefault="008B0BF1">
            <w:pPr>
              <w:pStyle w:val="Akapitzlist"/>
              <w:numPr>
                <w:ilvl w:val="0"/>
                <w:numId w:val="3"/>
              </w:numPr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7C7AE6">
              <w:rPr>
                <w:b/>
                <w:bCs/>
                <w:sz w:val="20"/>
                <w:szCs w:val="20"/>
              </w:rPr>
              <w:t>Określenie</w:t>
            </w:r>
            <w:r w:rsidR="00804BA0">
              <w:rPr>
                <w:b/>
                <w:bCs/>
                <w:sz w:val="20"/>
                <w:szCs w:val="20"/>
              </w:rPr>
              <w:t xml:space="preserve"> </w:t>
            </w:r>
            <w:r w:rsidRPr="007C7AE6">
              <w:rPr>
                <w:b/>
                <w:bCs/>
                <w:sz w:val="20"/>
                <w:szCs w:val="20"/>
              </w:rPr>
              <w:t>czasu</w:t>
            </w:r>
            <w:r w:rsidR="00804BA0">
              <w:rPr>
                <w:b/>
                <w:bCs/>
                <w:sz w:val="20"/>
                <w:szCs w:val="20"/>
              </w:rPr>
              <w:t xml:space="preserve"> </w:t>
            </w:r>
            <w:r w:rsidRPr="007C7AE6">
              <w:rPr>
                <w:b/>
                <w:bCs/>
                <w:sz w:val="20"/>
                <w:szCs w:val="20"/>
              </w:rPr>
              <w:t>leczenia</w:t>
            </w:r>
            <w:r w:rsidR="00804BA0">
              <w:rPr>
                <w:b/>
                <w:bCs/>
                <w:sz w:val="20"/>
                <w:szCs w:val="20"/>
              </w:rPr>
              <w:t xml:space="preserve"> </w:t>
            </w:r>
            <w:r w:rsidRPr="007C7AE6">
              <w:rPr>
                <w:b/>
                <w:bCs/>
                <w:sz w:val="20"/>
                <w:szCs w:val="20"/>
              </w:rPr>
              <w:t>w</w:t>
            </w:r>
            <w:r w:rsidR="00804BA0">
              <w:rPr>
                <w:b/>
                <w:bCs/>
                <w:sz w:val="20"/>
                <w:szCs w:val="20"/>
              </w:rPr>
              <w:t xml:space="preserve"> </w:t>
            </w:r>
            <w:r w:rsidRPr="007C7AE6">
              <w:rPr>
                <w:b/>
                <w:bCs/>
                <w:sz w:val="20"/>
                <w:szCs w:val="20"/>
              </w:rPr>
              <w:t>programie</w:t>
            </w:r>
          </w:p>
          <w:p w14:paraId="6E03B22E" w14:textId="44DC2F96" w:rsidR="008B0BF1" w:rsidRPr="007C7AE6" w:rsidRDefault="008B0BF1" w:rsidP="008B0BF1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7C7AE6">
              <w:rPr>
                <w:sz w:val="20"/>
                <w:szCs w:val="20"/>
              </w:rPr>
              <w:t>Leczenie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trwa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do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czasu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podjęcia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przez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lekarza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prowadzącego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decyzji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o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wyłączeniu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świadczeniobiorcy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z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programu,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zgodnie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z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kryteriami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wyłączenia,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z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zastrzeżeniem,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iż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w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przypadku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terapii:</w:t>
            </w:r>
          </w:p>
          <w:p w14:paraId="1ED790F0" w14:textId="177A679C" w:rsidR="008B0BF1" w:rsidRPr="007C7AE6" w:rsidRDefault="008B0BF1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proofErr w:type="spellStart"/>
            <w:r w:rsidRPr="007C7AE6">
              <w:rPr>
                <w:i/>
                <w:iCs/>
                <w:sz w:val="20"/>
                <w:szCs w:val="20"/>
              </w:rPr>
              <w:t>nilotynibem</w:t>
            </w:r>
            <w:proofErr w:type="spellEnd"/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–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można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rozważyć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odstawienie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leczenia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u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pacjenta,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który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uzyskał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trwałą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głęboką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odpowiedź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molekularną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(≥</w:t>
            </w:r>
            <w:r w:rsidRPr="007C7AE6">
              <w:rPr>
                <w:color w:val="000000"/>
                <w:sz w:val="20"/>
                <w:szCs w:val="20"/>
              </w:rPr>
              <w:t>MR</w:t>
            </w:r>
            <w:r w:rsidRPr="007C7AE6">
              <w:rPr>
                <w:color w:val="000000"/>
                <w:sz w:val="20"/>
                <w:szCs w:val="20"/>
                <w:vertAlign w:val="superscript"/>
              </w:rPr>
              <w:t>4</w:t>
            </w:r>
            <w:r w:rsidRPr="007C7AE6">
              <w:rPr>
                <w:color w:val="000000"/>
                <w:sz w:val="20"/>
                <w:szCs w:val="20"/>
              </w:rPr>
              <w:t>)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oraz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spełnione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są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łącznie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następujące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warunki:</w:t>
            </w:r>
          </w:p>
          <w:p w14:paraId="4EE01556" w14:textId="11A53264" w:rsidR="008B0BF1" w:rsidRPr="007C7AE6" w:rsidRDefault="008B0BF1">
            <w:pPr>
              <w:pStyle w:val="Akapitzlist"/>
              <w:numPr>
                <w:ilvl w:val="4"/>
                <w:numId w:val="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C7AE6">
              <w:rPr>
                <w:color w:val="000000"/>
                <w:sz w:val="20"/>
                <w:szCs w:val="20"/>
              </w:rPr>
              <w:t>w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pierwszej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linii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leczenia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zastosowano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7AE6">
              <w:rPr>
                <w:i/>
                <w:iCs/>
                <w:color w:val="000000"/>
                <w:sz w:val="20"/>
                <w:szCs w:val="20"/>
              </w:rPr>
              <w:t>imatynib</w:t>
            </w:r>
            <w:proofErr w:type="spellEnd"/>
            <w:r w:rsidRPr="007C7AE6">
              <w:rPr>
                <w:color w:val="000000"/>
                <w:sz w:val="20"/>
                <w:szCs w:val="20"/>
              </w:rPr>
              <w:t>,</w:t>
            </w:r>
          </w:p>
          <w:p w14:paraId="059F6F65" w14:textId="09028E5C" w:rsidR="008B0BF1" w:rsidRPr="007C7AE6" w:rsidRDefault="008B0BF1">
            <w:pPr>
              <w:pStyle w:val="Akapitzlist"/>
              <w:numPr>
                <w:ilvl w:val="4"/>
                <w:numId w:val="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C7AE6">
              <w:rPr>
                <w:color w:val="000000"/>
                <w:sz w:val="20"/>
                <w:szCs w:val="20"/>
              </w:rPr>
              <w:t>leczenie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7AE6">
              <w:rPr>
                <w:i/>
                <w:iCs/>
                <w:color w:val="000000"/>
                <w:sz w:val="20"/>
                <w:szCs w:val="20"/>
              </w:rPr>
              <w:t>nilotynibem</w:t>
            </w:r>
            <w:proofErr w:type="spellEnd"/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trwało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przynajmniej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3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lata,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a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głęboka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odpowiedź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molekularna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na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leczenie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7AE6">
              <w:rPr>
                <w:i/>
                <w:iCs/>
                <w:color w:val="000000"/>
                <w:sz w:val="20"/>
                <w:szCs w:val="20"/>
              </w:rPr>
              <w:t>nilotynibem</w:t>
            </w:r>
            <w:proofErr w:type="spellEnd"/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utrzymuje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się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przez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minimum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jeden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rok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przed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planowanym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odstawieniem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leczenia,</w:t>
            </w:r>
          </w:p>
          <w:p w14:paraId="50811F6D" w14:textId="26FA8071" w:rsidR="008B0BF1" w:rsidRPr="007C7AE6" w:rsidRDefault="008B0BF1" w:rsidP="008B0BF1">
            <w:pPr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  <w:r w:rsidRPr="007C7AE6">
              <w:rPr>
                <w:sz w:val="20"/>
                <w:szCs w:val="20"/>
              </w:rPr>
              <w:t>W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przypadku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utraty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większej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odpowiedzi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molekularnej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(MMR,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MR</w:t>
            </w:r>
            <w:r w:rsidRPr="007C7AE6">
              <w:rPr>
                <w:color w:val="000000"/>
                <w:sz w:val="20"/>
                <w:szCs w:val="20"/>
                <w:vertAlign w:val="superscript"/>
              </w:rPr>
              <w:t>3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tj.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po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utracie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odpowiedzi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BCR-ABL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jest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&gt;0,1%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IS)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powinno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zostać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wznowione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leczenie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7AE6">
              <w:rPr>
                <w:i/>
                <w:iCs/>
                <w:color w:val="000000"/>
                <w:sz w:val="20"/>
                <w:szCs w:val="20"/>
              </w:rPr>
              <w:t>nilotynibem</w:t>
            </w:r>
            <w:proofErr w:type="spellEnd"/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w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ciągu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4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tygodni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od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utraty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MMR.</w:t>
            </w:r>
          </w:p>
          <w:p w14:paraId="049F791C" w14:textId="7BE63E4A" w:rsidR="008B0BF1" w:rsidRPr="007C7AE6" w:rsidRDefault="008B0BF1" w:rsidP="008B0BF1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7C7AE6">
              <w:rPr>
                <w:color w:val="000000"/>
                <w:sz w:val="20"/>
                <w:szCs w:val="20"/>
              </w:rPr>
              <w:t>W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przypadku,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gdy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pacjent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nie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toleruje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procesu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odstawienia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leku,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możliwy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jest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powrót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do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leczenia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7AE6">
              <w:rPr>
                <w:i/>
                <w:iCs/>
                <w:color w:val="000000"/>
                <w:sz w:val="20"/>
                <w:szCs w:val="20"/>
              </w:rPr>
              <w:t>nilotynibem</w:t>
            </w:r>
            <w:proofErr w:type="spellEnd"/>
            <w:r w:rsidRPr="007C7AE6">
              <w:rPr>
                <w:color w:val="000000"/>
                <w:sz w:val="20"/>
                <w:szCs w:val="20"/>
              </w:rPr>
              <w:t>.</w:t>
            </w:r>
          </w:p>
          <w:p w14:paraId="74F5D8D9" w14:textId="5932A250" w:rsidR="008B0BF1" w:rsidRPr="007C7AE6" w:rsidRDefault="008B0BF1" w:rsidP="008B0BF1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7C7AE6">
              <w:rPr>
                <w:sz w:val="20"/>
                <w:szCs w:val="20"/>
              </w:rPr>
              <w:t>W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przypadku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stwierdzenia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oporności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na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dwie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linie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leczenia</w:t>
            </w:r>
            <w:r w:rsidR="00850A3C">
              <w:rPr>
                <w:color w:val="000000"/>
                <w:sz w:val="20"/>
                <w:szCs w:val="20"/>
              </w:rPr>
              <w:t>,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="00804BA0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jeżeli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nie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zostało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to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wcześniej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zrobione,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a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świadczeniobiorca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jest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kandydatem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do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przeszczepienia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allogenicznych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krwiotwórczych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komórek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macierzystych,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należy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wszcząć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procedurę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kwalifikacji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do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transplantacji.</w:t>
            </w:r>
          </w:p>
          <w:p w14:paraId="168CE715" w14:textId="77777777" w:rsidR="008B0BF1" w:rsidRPr="007C7AE6" w:rsidRDefault="008B0BF1" w:rsidP="008B0BF1">
            <w:pPr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3689D9FC" w14:textId="4837A924" w:rsidR="008B0BF1" w:rsidRPr="007C7AE6" w:rsidRDefault="008B0BF1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C7AE6">
              <w:rPr>
                <w:b/>
                <w:bCs/>
                <w:sz w:val="20"/>
                <w:szCs w:val="20"/>
              </w:rPr>
              <w:t>Kryteria</w:t>
            </w:r>
            <w:r w:rsidR="00804BA0">
              <w:rPr>
                <w:b/>
                <w:bCs/>
                <w:sz w:val="20"/>
                <w:szCs w:val="20"/>
              </w:rPr>
              <w:t xml:space="preserve"> </w:t>
            </w:r>
            <w:r w:rsidRPr="007C7AE6">
              <w:rPr>
                <w:b/>
                <w:bCs/>
                <w:sz w:val="20"/>
                <w:szCs w:val="20"/>
              </w:rPr>
              <w:t>wyłączenia</w:t>
            </w:r>
            <w:r w:rsidR="00804BA0">
              <w:rPr>
                <w:b/>
                <w:bCs/>
                <w:sz w:val="20"/>
                <w:szCs w:val="20"/>
              </w:rPr>
              <w:t xml:space="preserve"> </w:t>
            </w:r>
            <w:r w:rsidRPr="007C7AE6">
              <w:rPr>
                <w:b/>
                <w:bCs/>
                <w:sz w:val="20"/>
                <w:szCs w:val="20"/>
              </w:rPr>
              <w:t>z</w:t>
            </w:r>
            <w:r w:rsidR="00804BA0">
              <w:rPr>
                <w:b/>
                <w:bCs/>
                <w:sz w:val="20"/>
                <w:szCs w:val="20"/>
              </w:rPr>
              <w:t xml:space="preserve"> </w:t>
            </w:r>
            <w:r w:rsidRPr="007C7AE6">
              <w:rPr>
                <w:b/>
                <w:bCs/>
                <w:sz w:val="20"/>
                <w:szCs w:val="20"/>
              </w:rPr>
              <w:t>programu</w:t>
            </w:r>
            <w:r w:rsidR="00804BA0">
              <w:rPr>
                <w:b/>
                <w:bCs/>
                <w:sz w:val="20"/>
                <w:szCs w:val="20"/>
              </w:rPr>
              <w:t xml:space="preserve"> </w:t>
            </w:r>
            <w:r w:rsidRPr="007C7AE6">
              <w:rPr>
                <w:b/>
                <w:bCs/>
                <w:sz w:val="20"/>
                <w:szCs w:val="20"/>
              </w:rPr>
              <w:t>(występujące</w:t>
            </w:r>
            <w:r w:rsidR="00804BA0">
              <w:rPr>
                <w:b/>
                <w:bCs/>
                <w:sz w:val="20"/>
                <w:szCs w:val="20"/>
              </w:rPr>
              <w:t xml:space="preserve"> </w:t>
            </w:r>
            <w:r w:rsidRPr="007C7AE6">
              <w:rPr>
                <w:b/>
                <w:bCs/>
                <w:sz w:val="20"/>
                <w:szCs w:val="20"/>
              </w:rPr>
              <w:t>podczas</w:t>
            </w:r>
            <w:r w:rsidR="00804BA0">
              <w:rPr>
                <w:b/>
                <w:bCs/>
                <w:sz w:val="20"/>
                <w:szCs w:val="20"/>
              </w:rPr>
              <w:t xml:space="preserve"> </w:t>
            </w:r>
            <w:r w:rsidRPr="007C7AE6">
              <w:rPr>
                <w:b/>
                <w:bCs/>
                <w:sz w:val="20"/>
                <w:szCs w:val="20"/>
              </w:rPr>
              <w:t>leczenia</w:t>
            </w:r>
            <w:r w:rsidR="00804BA0">
              <w:rPr>
                <w:b/>
                <w:bCs/>
                <w:sz w:val="20"/>
                <w:szCs w:val="20"/>
              </w:rPr>
              <w:t xml:space="preserve"> </w:t>
            </w:r>
            <w:r w:rsidRPr="007C7AE6">
              <w:rPr>
                <w:b/>
                <w:bCs/>
                <w:sz w:val="20"/>
                <w:szCs w:val="20"/>
              </w:rPr>
              <w:t>ostatnim</w:t>
            </w:r>
            <w:r w:rsidR="00804BA0">
              <w:rPr>
                <w:b/>
                <w:bCs/>
                <w:sz w:val="20"/>
                <w:szCs w:val="20"/>
              </w:rPr>
              <w:t xml:space="preserve"> </w:t>
            </w:r>
            <w:r w:rsidRPr="007C7AE6">
              <w:rPr>
                <w:b/>
                <w:bCs/>
                <w:sz w:val="20"/>
                <w:szCs w:val="20"/>
              </w:rPr>
              <w:t>z</w:t>
            </w:r>
            <w:r w:rsidR="00804BA0">
              <w:rPr>
                <w:b/>
                <w:bCs/>
                <w:sz w:val="20"/>
                <w:szCs w:val="20"/>
              </w:rPr>
              <w:t xml:space="preserve"> </w:t>
            </w:r>
            <w:r w:rsidRPr="007C7AE6">
              <w:rPr>
                <w:b/>
                <w:bCs/>
                <w:sz w:val="20"/>
                <w:szCs w:val="20"/>
              </w:rPr>
              <w:t>możliwych</w:t>
            </w:r>
            <w:r w:rsidR="00804BA0">
              <w:rPr>
                <w:b/>
                <w:bCs/>
                <w:sz w:val="20"/>
                <w:szCs w:val="20"/>
              </w:rPr>
              <w:t xml:space="preserve"> </w:t>
            </w:r>
            <w:r w:rsidRPr="007C7AE6">
              <w:rPr>
                <w:b/>
                <w:bCs/>
                <w:sz w:val="20"/>
                <w:szCs w:val="20"/>
              </w:rPr>
              <w:t>do</w:t>
            </w:r>
            <w:r w:rsidR="00804BA0">
              <w:rPr>
                <w:b/>
                <w:bCs/>
                <w:sz w:val="20"/>
                <w:szCs w:val="20"/>
              </w:rPr>
              <w:t xml:space="preserve"> </w:t>
            </w:r>
            <w:r w:rsidRPr="007C7AE6">
              <w:rPr>
                <w:b/>
                <w:bCs/>
                <w:sz w:val="20"/>
                <w:szCs w:val="20"/>
              </w:rPr>
              <w:t>zastosowania</w:t>
            </w:r>
            <w:r w:rsidR="00804BA0">
              <w:rPr>
                <w:b/>
                <w:bCs/>
                <w:sz w:val="20"/>
                <w:szCs w:val="20"/>
              </w:rPr>
              <w:t xml:space="preserve"> </w:t>
            </w:r>
            <w:r w:rsidRPr="007C7AE6">
              <w:rPr>
                <w:b/>
                <w:bCs/>
                <w:sz w:val="20"/>
                <w:szCs w:val="20"/>
              </w:rPr>
              <w:t>inhibitorów,</w:t>
            </w:r>
            <w:r w:rsidR="00804BA0">
              <w:rPr>
                <w:b/>
                <w:bCs/>
                <w:sz w:val="20"/>
                <w:szCs w:val="20"/>
              </w:rPr>
              <w:t xml:space="preserve"> </w:t>
            </w:r>
            <w:r w:rsidRPr="007C7AE6">
              <w:rPr>
                <w:b/>
                <w:bCs/>
                <w:sz w:val="20"/>
                <w:szCs w:val="20"/>
              </w:rPr>
              <w:t>w</w:t>
            </w:r>
            <w:r w:rsidR="00804BA0">
              <w:rPr>
                <w:b/>
                <w:bCs/>
                <w:sz w:val="20"/>
                <w:szCs w:val="20"/>
              </w:rPr>
              <w:t xml:space="preserve"> </w:t>
            </w:r>
            <w:r w:rsidRPr="007C7AE6">
              <w:rPr>
                <w:b/>
                <w:bCs/>
                <w:sz w:val="20"/>
                <w:szCs w:val="20"/>
              </w:rPr>
              <w:t>przypadku</w:t>
            </w:r>
            <w:r w:rsidR="00804BA0">
              <w:rPr>
                <w:b/>
                <w:bCs/>
                <w:sz w:val="20"/>
                <w:szCs w:val="20"/>
              </w:rPr>
              <w:t xml:space="preserve"> </w:t>
            </w:r>
            <w:r w:rsidRPr="007C7AE6">
              <w:rPr>
                <w:b/>
                <w:bCs/>
                <w:sz w:val="20"/>
                <w:szCs w:val="20"/>
              </w:rPr>
              <w:t>chorych,</w:t>
            </w:r>
            <w:r w:rsidR="00804BA0">
              <w:rPr>
                <w:b/>
                <w:bCs/>
                <w:sz w:val="20"/>
                <w:szCs w:val="20"/>
              </w:rPr>
              <w:t xml:space="preserve"> </w:t>
            </w:r>
            <w:r w:rsidRPr="007C7AE6">
              <w:rPr>
                <w:b/>
                <w:bCs/>
                <w:sz w:val="20"/>
                <w:szCs w:val="20"/>
              </w:rPr>
              <w:t>u</w:t>
            </w:r>
            <w:r w:rsidR="00804BA0">
              <w:rPr>
                <w:b/>
                <w:bCs/>
                <w:sz w:val="20"/>
                <w:szCs w:val="20"/>
              </w:rPr>
              <w:t xml:space="preserve"> </w:t>
            </w:r>
            <w:r w:rsidRPr="007C7AE6">
              <w:rPr>
                <w:b/>
                <w:bCs/>
                <w:sz w:val="20"/>
                <w:szCs w:val="20"/>
              </w:rPr>
              <w:t>których</w:t>
            </w:r>
            <w:r w:rsidR="00804BA0">
              <w:rPr>
                <w:b/>
                <w:bCs/>
                <w:sz w:val="20"/>
                <w:szCs w:val="20"/>
              </w:rPr>
              <w:t xml:space="preserve"> </w:t>
            </w:r>
            <w:r w:rsidRPr="007C7AE6">
              <w:rPr>
                <w:b/>
                <w:bCs/>
                <w:sz w:val="20"/>
                <w:szCs w:val="20"/>
              </w:rPr>
              <w:t>zastosowano</w:t>
            </w:r>
            <w:r w:rsidR="00804BA0">
              <w:rPr>
                <w:b/>
                <w:bCs/>
                <w:sz w:val="20"/>
                <w:szCs w:val="20"/>
              </w:rPr>
              <w:t xml:space="preserve"> </w:t>
            </w:r>
            <w:r w:rsidRPr="007C7AE6">
              <w:rPr>
                <w:b/>
                <w:bCs/>
                <w:sz w:val="20"/>
                <w:szCs w:val="20"/>
              </w:rPr>
              <w:t>wszystkie</w:t>
            </w:r>
            <w:r w:rsidR="00804BA0">
              <w:rPr>
                <w:b/>
                <w:bCs/>
                <w:sz w:val="20"/>
                <w:szCs w:val="20"/>
              </w:rPr>
              <w:t xml:space="preserve"> </w:t>
            </w:r>
            <w:r w:rsidRPr="007C7AE6">
              <w:rPr>
                <w:b/>
                <w:bCs/>
                <w:sz w:val="20"/>
                <w:szCs w:val="20"/>
              </w:rPr>
              <w:t>dostępne</w:t>
            </w:r>
            <w:r w:rsidR="00804BA0">
              <w:rPr>
                <w:b/>
                <w:bCs/>
                <w:sz w:val="20"/>
                <w:szCs w:val="20"/>
              </w:rPr>
              <w:t xml:space="preserve"> </w:t>
            </w:r>
            <w:r w:rsidRPr="007C7AE6">
              <w:rPr>
                <w:b/>
                <w:bCs/>
                <w:sz w:val="20"/>
                <w:szCs w:val="20"/>
              </w:rPr>
              <w:t>terapie</w:t>
            </w:r>
            <w:r w:rsidR="00804BA0">
              <w:rPr>
                <w:b/>
                <w:bCs/>
                <w:sz w:val="20"/>
                <w:szCs w:val="20"/>
              </w:rPr>
              <w:t xml:space="preserve"> </w:t>
            </w:r>
            <w:r w:rsidRPr="007C7AE6">
              <w:rPr>
                <w:b/>
                <w:bCs/>
                <w:sz w:val="20"/>
                <w:szCs w:val="20"/>
              </w:rPr>
              <w:t>zgodnie</w:t>
            </w:r>
            <w:r w:rsidR="00804BA0">
              <w:rPr>
                <w:b/>
                <w:bCs/>
                <w:sz w:val="20"/>
                <w:szCs w:val="20"/>
              </w:rPr>
              <w:t xml:space="preserve"> </w:t>
            </w:r>
            <w:r w:rsidRPr="007C7AE6">
              <w:rPr>
                <w:b/>
                <w:bCs/>
                <w:sz w:val="20"/>
                <w:szCs w:val="20"/>
              </w:rPr>
              <w:t>z</w:t>
            </w:r>
            <w:r w:rsidR="00804BA0">
              <w:rPr>
                <w:b/>
                <w:bCs/>
                <w:sz w:val="20"/>
                <w:szCs w:val="20"/>
              </w:rPr>
              <w:t xml:space="preserve"> </w:t>
            </w:r>
            <w:r w:rsidRPr="007C7AE6">
              <w:rPr>
                <w:b/>
                <w:bCs/>
                <w:sz w:val="20"/>
                <w:szCs w:val="20"/>
              </w:rPr>
              <w:t>zapisami</w:t>
            </w:r>
            <w:r w:rsidR="00804BA0">
              <w:rPr>
                <w:b/>
                <w:bCs/>
                <w:sz w:val="20"/>
                <w:szCs w:val="20"/>
              </w:rPr>
              <w:t xml:space="preserve"> </w:t>
            </w:r>
            <w:r w:rsidRPr="007C7AE6">
              <w:rPr>
                <w:b/>
                <w:bCs/>
                <w:sz w:val="20"/>
                <w:szCs w:val="20"/>
              </w:rPr>
              <w:t>programu</w:t>
            </w:r>
            <w:r w:rsidR="00804BA0">
              <w:rPr>
                <w:b/>
                <w:bCs/>
                <w:sz w:val="20"/>
                <w:szCs w:val="20"/>
              </w:rPr>
              <w:t xml:space="preserve"> </w:t>
            </w:r>
            <w:r w:rsidRPr="007C7AE6">
              <w:rPr>
                <w:b/>
                <w:bCs/>
                <w:sz w:val="20"/>
                <w:szCs w:val="20"/>
              </w:rPr>
              <w:t>lekowego)</w:t>
            </w:r>
            <w:r w:rsidR="00804BA0">
              <w:rPr>
                <w:b/>
                <w:bCs/>
                <w:sz w:val="20"/>
                <w:szCs w:val="20"/>
              </w:rPr>
              <w:t xml:space="preserve"> </w:t>
            </w:r>
            <w:r w:rsidRPr="007C7AE6">
              <w:rPr>
                <w:b/>
                <w:bCs/>
                <w:sz w:val="20"/>
                <w:szCs w:val="20"/>
              </w:rPr>
              <w:t>lub</w:t>
            </w:r>
            <w:r w:rsidR="00804BA0">
              <w:rPr>
                <w:b/>
                <w:bCs/>
                <w:sz w:val="20"/>
                <w:szCs w:val="20"/>
              </w:rPr>
              <w:t xml:space="preserve"> </w:t>
            </w:r>
            <w:r w:rsidRPr="007C7AE6">
              <w:rPr>
                <w:b/>
                <w:bCs/>
                <w:sz w:val="20"/>
                <w:szCs w:val="20"/>
              </w:rPr>
              <w:t>kryteria</w:t>
            </w:r>
            <w:r w:rsidR="00804BA0">
              <w:rPr>
                <w:b/>
                <w:bCs/>
                <w:sz w:val="20"/>
                <w:szCs w:val="20"/>
              </w:rPr>
              <w:t xml:space="preserve"> </w:t>
            </w:r>
            <w:r w:rsidRPr="007C7AE6">
              <w:rPr>
                <w:b/>
                <w:bCs/>
                <w:sz w:val="20"/>
                <w:szCs w:val="20"/>
              </w:rPr>
              <w:t>zmiany</w:t>
            </w:r>
            <w:r w:rsidR="00804BA0">
              <w:rPr>
                <w:b/>
                <w:bCs/>
                <w:sz w:val="20"/>
                <w:szCs w:val="20"/>
              </w:rPr>
              <w:t xml:space="preserve"> </w:t>
            </w:r>
            <w:r w:rsidRPr="007C7AE6">
              <w:rPr>
                <w:b/>
                <w:bCs/>
                <w:sz w:val="20"/>
                <w:szCs w:val="20"/>
              </w:rPr>
              <w:t>inhibitora</w:t>
            </w:r>
            <w:r w:rsidR="00804BA0">
              <w:rPr>
                <w:b/>
                <w:bCs/>
                <w:sz w:val="20"/>
                <w:szCs w:val="20"/>
              </w:rPr>
              <w:t xml:space="preserve"> </w:t>
            </w:r>
            <w:r w:rsidRPr="007C7AE6">
              <w:rPr>
                <w:b/>
                <w:bCs/>
                <w:sz w:val="20"/>
                <w:szCs w:val="20"/>
              </w:rPr>
              <w:t>kinazy</w:t>
            </w:r>
            <w:r w:rsidR="00804BA0">
              <w:rPr>
                <w:b/>
                <w:bCs/>
                <w:sz w:val="20"/>
                <w:szCs w:val="20"/>
              </w:rPr>
              <w:t xml:space="preserve"> </w:t>
            </w:r>
            <w:r w:rsidRPr="007C7AE6">
              <w:rPr>
                <w:b/>
                <w:bCs/>
                <w:sz w:val="20"/>
                <w:szCs w:val="20"/>
              </w:rPr>
              <w:t>tyrozynowej</w:t>
            </w:r>
          </w:p>
          <w:p w14:paraId="617C6BB7" w14:textId="39D1BA0A" w:rsidR="008B0BF1" w:rsidRPr="007C7AE6" w:rsidRDefault="008B0BF1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C7AE6">
              <w:rPr>
                <w:sz w:val="20"/>
                <w:szCs w:val="20"/>
              </w:rPr>
              <w:t>progresja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choroby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w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trakcie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leczenia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wyrażająca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się:</w:t>
            </w:r>
          </w:p>
          <w:p w14:paraId="7D3D3D25" w14:textId="48FFFC8A" w:rsidR="008B0BF1" w:rsidRPr="007C7AE6" w:rsidRDefault="008B0BF1">
            <w:pPr>
              <w:pStyle w:val="Akapitzlist"/>
              <w:numPr>
                <w:ilvl w:val="4"/>
                <w:numId w:val="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C7AE6">
              <w:rPr>
                <w:sz w:val="20"/>
                <w:szCs w:val="20"/>
              </w:rPr>
              <w:lastRenderedPageBreak/>
              <w:t>utratą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odpowiedzi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hematologicznej,</w:t>
            </w:r>
          </w:p>
          <w:p w14:paraId="315FA356" w14:textId="77777777" w:rsidR="008B0BF1" w:rsidRPr="007C7AE6" w:rsidRDefault="008B0BF1" w:rsidP="008B0BF1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  <w:r w:rsidRPr="007C7AE6">
              <w:rPr>
                <w:sz w:val="20"/>
                <w:szCs w:val="20"/>
              </w:rPr>
              <w:t>lub</w:t>
            </w:r>
          </w:p>
          <w:p w14:paraId="3D09ED7D" w14:textId="0EE84C25" w:rsidR="008B0BF1" w:rsidRPr="007C7AE6" w:rsidRDefault="008B0BF1">
            <w:pPr>
              <w:pStyle w:val="Akapitzlist"/>
              <w:numPr>
                <w:ilvl w:val="4"/>
                <w:numId w:val="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C7AE6">
              <w:rPr>
                <w:sz w:val="20"/>
                <w:szCs w:val="20"/>
              </w:rPr>
              <w:t>utratą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całkowitej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odpowiedzi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cytogenetycznej,</w:t>
            </w:r>
            <w:r w:rsidR="00804BA0">
              <w:rPr>
                <w:sz w:val="20"/>
                <w:szCs w:val="20"/>
              </w:rPr>
              <w:t xml:space="preserve"> </w:t>
            </w:r>
          </w:p>
          <w:p w14:paraId="40E8A6AF" w14:textId="77777777" w:rsidR="008B0BF1" w:rsidRPr="007C7AE6" w:rsidRDefault="008B0BF1" w:rsidP="008B0BF1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  <w:r w:rsidRPr="007C7AE6">
              <w:rPr>
                <w:sz w:val="20"/>
                <w:szCs w:val="20"/>
              </w:rPr>
              <w:t>lub</w:t>
            </w:r>
          </w:p>
          <w:p w14:paraId="384F4BFC" w14:textId="64D705E8" w:rsidR="008B0BF1" w:rsidRPr="007C7AE6" w:rsidRDefault="008B0BF1">
            <w:pPr>
              <w:pStyle w:val="Akapitzlist"/>
              <w:numPr>
                <w:ilvl w:val="4"/>
                <w:numId w:val="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C7AE6">
              <w:rPr>
                <w:sz w:val="20"/>
                <w:szCs w:val="20"/>
              </w:rPr>
              <w:t>zwiększeniem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o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30%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odsetka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komórek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z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chromosomem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Filadelfia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u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świadczeniobiorcy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z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remisją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cytogenetyczną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mniejszą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niż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całkowita,</w:t>
            </w:r>
          </w:p>
          <w:p w14:paraId="5522D62A" w14:textId="77777777" w:rsidR="008B0BF1" w:rsidRPr="007C7AE6" w:rsidRDefault="008B0BF1" w:rsidP="008B0BF1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  <w:r w:rsidRPr="007C7AE6">
              <w:rPr>
                <w:sz w:val="20"/>
                <w:szCs w:val="20"/>
              </w:rPr>
              <w:t>lub</w:t>
            </w:r>
          </w:p>
          <w:p w14:paraId="347EFE5F" w14:textId="5F7892C6" w:rsidR="008B0BF1" w:rsidRPr="007C7AE6" w:rsidRDefault="008B0BF1">
            <w:pPr>
              <w:pStyle w:val="Akapitzlist"/>
              <w:numPr>
                <w:ilvl w:val="4"/>
                <w:numId w:val="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C7AE6">
              <w:rPr>
                <w:sz w:val="20"/>
                <w:szCs w:val="20"/>
              </w:rPr>
              <w:t>utratą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dotychczasowej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odpowiedzi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cytogenetycznej</w:t>
            </w:r>
          </w:p>
          <w:p w14:paraId="06F158AF" w14:textId="32283AB8" w:rsidR="008B0BF1" w:rsidRPr="007C7AE6" w:rsidRDefault="008B0BF1" w:rsidP="008B0BF1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  <w:r w:rsidRPr="007C7AE6">
              <w:rPr>
                <w:sz w:val="20"/>
                <w:szCs w:val="20"/>
              </w:rPr>
              <w:t>lub</w:t>
            </w:r>
            <w:r w:rsidR="00804BA0">
              <w:rPr>
                <w:sz w:val="20"/>
                <w:szCs w:val="20"/>
              </w:rPr>
              <w:t xml:space="preserve"> </w:t>
            </w:r>
          </w:p>
          <w:p w14:paraId="73E3E0B4" w14:textId="03865BEC" w:rsidR="008B0BF1" w:rsidRPr="007C7AE6" w:rsidRDefault="008B0BF1">
            <w:pPr>
              <w:pStyle w:val="Akapitzlist"/>
              <w:numPr>
                <w:ilvl w:val="4"/>
                <w:numId w:val="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C7AE6">
              <w:rPr>
                <w:sz w:val="20"/>
                <w:szCs w:val="20"/>
              </w:rPr>
              <w:t>pojawieniem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się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nowych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aberracji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chromosomalnych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w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klonie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białaczkowym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Filadelfia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(Ph+)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lub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nowych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mutacji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domeny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kinazy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ABL;</w:t>
            </w:r>
          </w:p>
          <w:p w14:paraId="08303CE6" w14:textId="24559992" w:rsidR="008B0BF1" w:rsidRPr="007C7AE6" w:rsidRDefault="008B0BF1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C7AE6">
              <w:rPr>
                <w:sz w:val="20"/>
                <w:szCs w:val="20"/>
              </w:rPr>
              <w:t>brak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odpowiedzi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hematologicznej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po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3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miesiącach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stosowania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leku;</w:t>
            </w:r>
          </w:p>
          <w:p w14:paraId="3D9CFF6C" w14:textId="50F917BF" w:rsidR="008B0BF1" w:rsidRPr="007C7AE6" w:rsidRDefault="008B0BF1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C7AE6">
              <w:rPr>
                <w:sz w:val="20"/>
                <w:szCs w:val="20"/>
              </w:rPr>
              <w:t>brak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minimalnej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odpowiedzi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cytogenetycznej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(tj.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sytuacja,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w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której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odsetek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komórek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Ph(+)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w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szpiku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&gt;95%)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po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3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miesiącach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stosowania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leku;</w:t>
            </w:r>
          </w:p>
          <w:p w14:paraId="4AFFB118" w14:textId="73D8E621" w:rsidR="008B0BF1" w:rsidRPr="007C7AE6" w:rsidRDefault="008B0BF1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C7AE6">
              <w:rPr>
                <w:sz w:val="20"/>
                <w:szCs w:val="20"/>
              </w:rPr>
              <w:t>brak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częściowej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cytogenetycznej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odpowiedzi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(tj.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sytuacja,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w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której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odsetek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komórek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Ph(+)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w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szpiku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&gt;35%)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lub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BCR-ABL1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&gt;10%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IS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(MR</w:t>
            </w:r>
            <w:r w:rsidRPr="007C7AE6">
              <w:rPr>
                <w:sz w:val="20"/>
                <w:szCs w:val="20"/>
                <w:vertAlign w:val="superscript"/>
              </w:rPr>
              <w:t>1</w:t>
            </w:r>
            <w:r w:rsidRPr="007C7AE6">
              <w:rPr>
                <w:sz w:val="20"/>
                <w:szCs w:val="20"/>
              </w:rPr>
              <w:t>)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po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6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miesiącach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stosowania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leku;</w:t>
            </w:r>
          </w:p>
          <w:p w14:paraId="4E39BDE9" w14:textId="2F1A882F" w:rsidR="008B0BF1" w:rsidRPr="007C7AE6" w:rsidRDefault="008B0BF1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C7AE6">
              <w:rPr>
                <w:sz w:val="20"/>
                <w:szCs w:val="20"/>
              </w:rPr>
              <w:t>brak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redukcji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BCR-ABL1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do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&lt;1%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IS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po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12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miesiącach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stosowania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leku;</w:t>
            </w:r>
          </w:p>
          <w:p w14:paraId="18376578" w14:textId="779C1CA8" w:rsidR="008B0BF1" w:rsidRPr="007C7AE6" w:rsidRDefault="008B0BF1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C7AE6">
              <w:rPr>
                <w:sz w:val="20"/>
                <w:szCs w:val="20"/>
              </w:rPr>
              <w:t>znalezienie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dawcy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i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podjęcie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decyzji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o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wykonaniu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zabiegu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przeszczepienia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allogenicznych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krwiotwórczych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komórek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macierzystych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u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danego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świadczeniobiorcy;</w:t>
            </w:r>
          </w:p>
          <w:p w14:paraId="203C6D8F" w14:textId="1608636D" w:rsidR="008B0BF1" w:rsidRPr="007C7AE6" w:rsidRDefault="008B0BF1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i/>
                <w:iCs/>
                <w:sz w:val="20"/>
                <w:szCs w:val="20"/>
              </w:rPr>
            </w:pPr>
            <w:r w:rsidRPr="007C7AE6">
              <w:rPr>
                <w:sz w:val="20"/>
                <w:szCs w:val="20"/>
              </w:rPr>
              <w:t>wystąpienie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chorób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lub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stanów,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które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według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oceny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lekarza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prowadzącego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uniemożliwiają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dalsze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prowadzenie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leczenia;</w:t>
            </w:r>
          </w:p>
          <w:p w14:paraId="4943CCEF" w14:textId="7A81FAB0" w:rsidR="008B0BF1" w:rsidRPr="007C7AE6" w:rsidRDefault="008B0BF1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C7AE6">
              <w:rPr>
                <w:sz w:val="20"/>
                <w:szCs w:val="20"/>
              </w:rPr>
              <w:lastRenderedPageBreak/>
              <w:t>wystąpienie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objawów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nadwrażliwości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na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lek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lub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na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którąkolwiek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substancję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pomocniczą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leku,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uniemożliwiających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kontynuację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leczenia;</w:t>
            </w:r>
            <w:r w:rsidR="00804BA0">
              <w:rPr>
                <w:sz w:val="20"/>
                <w:szCs w:val="20"/>
              </w:rPr>
              <w:t xml:space="preserve"> </w:t>
            </w:r>
          </w:p>
          <w:p w14:paraId="4919B953" w14:textId="285988EA" w:rsidR="008B0BF1" w:rsidRPr="007C7AE6" w:rsidRDefault="008B0BF1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C7AE6">
              <w:rPr>
                <w:sz w:val="20"/>
                <w:szCs w:val="20"/>
              </w:rPr>
              <w:t>wystąpienie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nieakceptowalnej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lub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zagrażającej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życiu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toksyczności,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pomimo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zastosowania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adekwatnego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postępowania;</w:t>
            </w:r>
          </w:p>
          <w:p w14:paraId="2C7481D8" w14:textId="786C0DB1" w:rsidR="00B669EF" w:rsidRPr="007C7AE6" w:rsidRDefault="008B0BF1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C7AE6">
              <w:rPr>
                <w:sz w:val="20"/>
                <w:szCs w:val="20"/>
              </w:rPr>
              <w:t>brak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współpracy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lub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nieprzestrzeganie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zaleceń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lekarskich,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w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tym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dotyczących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okresowych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badań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kontrolnych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oceniających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skuteczność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i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bezpieczeństwo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leczenia,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ze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strony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świadczeniobiorcy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lub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jego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opiekuna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prawnego</w:t>
            </w:r>
            <w:r w:rsidR="004A3401" w:rsidRPr="007C7AE6">
              <w:rPr>
                <w:sz w:val="20"/>
                <w:szCs w:val="20"/>
              </w:rPr>
              <w:t>.</w:t>
            </w:r>
          </w:p>
          <w:p w14:paraId="7319ED55" w14:textId="66665B15" w:rsidR="004A3401" w:rsidRPr="007C7AE6" w:rsidRDefault="004A3401" w:rsidP="008B0BF1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111" w:type="dxa"/>
          </w:tcPr>
          <w:p w14:paraId="2E93C172" w14:textId="59CF60A1" w:rsidR="008B0BF1" w:rsidRPr="007C7AE6" w:rsidRDefault="008B0BF1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C7AE6">
              <w:rPr>
                <w:b/>
                <w:bCs/>
                <w:sz w:val="20"/>
                <w:szCs w:val="20"/>
              </w:rPr>
              <w:lastRenderedPageBreak/>
              <w:t>Dawkowanie</w:t>
            </w:r>
            <w:r w:rsidR="00804BA0">
              <w:rPr>
                <w:b/>
                <w:bCs/>
                <w:sz w:val="20"/>
                <w:szCs w:val="20"/>
              </w:rPr>
              <w:t xml:space="preserve"> </w:t>
            </w:r>
            <w:r w:rsidRPr="007C7AE6">
              <w:rPr>
                <w:b/>
                <w:bCs/>
                <w:sz w:val="20"/>
                <w:szCs w:val="20"/>
              </w:rPr>
              <w:t>leków</w:t>
            </w:r>
          </w:p>
          <w:p w14:paraId="7571031C" w14:textId="77777777" w:rsidR="008B0BF1" w:rsidRPr="007C7AE6" w:rsidRDefault="008B0BF1">
            <w:pPr>
              <w:pStyle w:val="Akapitzlist"/>
              <w:numPr>
                <w:ilvl w:val="1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 w:rsidRPr="007C7AE6">
              <w:rPr>
                <w:b/>
                <w:bCs/>
                <w:sz w:val="20"/>
                <w:szCs w:val="20"/>
              </w:rPr>
              <w:t>nilotynib</w:t>
            </w:r>
            <w:proofErr w:type="spellEnd"/>
          </w:p>
          <w:p w14:paraId="0B913B11" w14:textId="2F8D3010" w:rsidR="008B0BF1" w:rsidRPr="007C7AE6" w:rsidRDefault="008B0BF1" w:rsidP="008B0BF1">
            <w:pPr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  <w:bookmarkStart w:id="1" w:name="_Hlk105673498"/>
            <w:r w:rsidRPr="007C7AE6">
              <w:rPr>
                <w:color w:val="000000"/>
                <w:sz w:val="20"/>
                <w:szCs w:val="20"/>
              </w:rPr>
              <w:t>Zalecana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dawka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7AE6">
              <w:rPr>
                <w:i/>
                <w:iCs/>
                <w:color w:val="000000"/>
                <w:sz w:val="20"/>
                <w:szCs w:val="20"/>
              </w:rPr>
              <w:t>nilotynibu</w:t>
            </w:r>
            <w:proofErr w:type="spellEnd"/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wynosi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400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mg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podawana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doustnie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dwa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razy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na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dobę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(co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odpowiada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całkowitej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dawce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dobowej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800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mg).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</w:p>
          <w:p w14:paraId="5D93B23F" w14:textId="5510E1CE" w:rsidR="008B0BF1" w:rsidRPr="007C7AE6" w:rsidRDefault="008B0BF1" w:rsidP="008B0BF1">
            <w:pPr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  <w:r w:rsidRPr="007C7AE6">
              <w:rPr>
                <w:color w:val="000000"/>
                <w:sz w:val="20"/>
                <w:szCs w:val="20"/>
              </w:rPr>
              <w:t>Odstęp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pomiędzy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kolejnymi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dawkami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powinien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wynosić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około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12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godzin.</w:t>
            </w:r>
          </w:p>
          <w:p w14:paraId="062A0823" w14:textId="77777777" w:rsidR="008B0BF1" w:rsidRPr="007C7AE6" w:rsidRDefault="008B0BF1" w:rsidP="008B0BF1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1586D3C0" w14:textId="77777777" w:rsidR="008B0BF1" w:rsidRPr="007C7AE6" w:rsidRDefault="008B0BF1">
            <w:pPr>
              <w:pStyle w:val="Akapitzlist"/>
              <w:numPr>
                <w:ilvl w:val="1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 w:rsidRPr="007C7AE6">
              <w:rPr>
                <w:b/>
                <w:bCs/>
                <w:sz w:val="20"/>
                <w:szCs w:val="20"/>
              </w:rPr>
              <w:t>bosutynib</w:t>
            </w:r>
            <w:proofErr w:type="spellEnd"/>
          </w:p>
          <w:p w14:paraId="70762698" w14:textId="04BD6DF5" w:rsidR="008B0BF1" w:rsidRPr="007C7AE6" w:rsidRDefault="008B0BF1" w:rsidP="008B0BF1">
            <w:pPr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  <w:r w:rsidRPr="007C7AE6">
              <w:rPr>
                <w:color w:val="000000"/>
                <w:sz w:val="20"/>
                <w:szCs w:val="20"/>
              </w:rPr>
              <w:t>Zalecana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dawka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7AE6">
              <w:rPr>
                <w:i/>
                <w:iCs/>
                <w:color w:val="000000"/>
                <w:sz w:val="20"/>
                <w:szCs w:val="20"/>
              </w:rPr>
              <w:t>bosutynibu</w:t>
            </w:r>
            <w:proofErr w:type="spellEnd"/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wynosi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500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mg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podawana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doustnie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raz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na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dobę.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</w:p>
          <w:p w14:paraId="7FB377BF" w14:textId="46DDF1F6" w:rsidR="008B0BF1" w:rsidRPr="007C7AE6" w:rsidRDefault="008B0BF1" w:rsidP="008B0BF1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7C7AE6">
              <w:rPr>
                <w:sz w:val="20"/>
                <w:szCs w:val="20"/>
              </w:rPr>
              <w:t>Zwiększenie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dawki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do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600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mg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raz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na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dobę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jest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dozwolone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u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pacjenta,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u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którego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nie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wystąpiły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ciężkie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ani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długotrwałe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działania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niepożądane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o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nasileniu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umiarkowanym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w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sytuacji:</w:t>
            </w:r>
          </w:p>
          <w:p w14:paraId="2305D532" w14:textId="1947B4F0" w:rsidR="008B0BF1" w:rsidRPr="007C7AE6" w:rsidRDefault="008B0BF1">
            <w:pPr>
              <w:pStyle w:val="Akapitzlist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C7AE6">
              <w:rPr>
                <w:sz w:val="20"/>
                <w:szCs w:val="20"/>
              </w:rPr>
              <w:t>nieosiągnięcia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całkowitej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odpowiedzi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hematologicznej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do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tygodnia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8,</w:t>
            </w:r>
          </w:p>
          <w:p w14:paraId="31D0ADEA" w14:textId="6D9263D9" w:rsidR="008B0BF1" w:rsidRPr="007C7AE6" w:rsidRDefault="008B0BF1">
            <w:pPr>
              <w:pStyle w:val="Akapitzlist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C7AE6">
              <w:rPr>
                <w:sz w:val="20"/>
                <w:szCs w:val="20"/>
              </w:rPr>
              <w:t>nieosiągnięcia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całkowitej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odpowiedzi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cytogenetycznej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do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tygodnia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12.</w:t>
            </w:r>
          </w:p>
          <w:p w14:paraId="2DACC02D" w14:textId="77777777" w:rsidR="008B0BF1" w:rsidRPr="007C7AE6" w:rsidRDefault="008B0BF1" w:rsidP="008B0BF1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</w:p>
          <w:p w14:paraId="575553D7" w14:textId="77777777" w:rsidR="008B0BF1" w:rsidRPr="007C7AE6" w:rsidRDefault="008B0BF1">
            <w:pPr>
              <w:pStyle w:val="Akapitzlist"/>
              <w:numPr>
                <w:ilvl w:val="1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 w:rsidRPr="007C7AE6">
              <w:rPr>
                <w:b/>
                <w:bCs/>
                <w:sz w:val="20"/>
                <w:szCs w:val="20"/>
              </w:rPr>
              <w:t>ponatynib</w:t>
            </w:r>
            <w:proofErr w:type="spellEnd"/>
          </w:p>
          <w:p w14:paraId="7F7E429B" w14:textId="5D093032" w:rsidR="008B0BF1" w:rsidRPr="007C7AE6" w:rsidRDefault="008B0BF1" w:rsidP="008B0BF1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7C7AE6">
              <w:rPr>
                <w:sz w:val="20"/>
                <w:szCs w:val="20"/>
              </w:rPr>
              <w:lastRenderedPageBreak/>
              <w:t>Zalecana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dawka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początkowa</w:t>
            </w:r>
            <w:r w:rsidR="00804BA0">
              <w:rPr>
                <w:sz w:val="20"/>
                <w:szCs w:val="20"/>
              </w:rPr>
              <w:t xml:space="preserve"> </w:t>
            </w:r>
            <w:proofErr w:type="spellStart"/>
            <w:r w:rsidRPr="007C7AE6">
              <w:rPr>
                <w:i/>
                <w:iCs/>
                <w:sz w:val="20"/>
                <w:szCs w:val="20"/>
              </w:rPr>
              <w:t>ponatynibu</w:t>
            </w:r>
            <w:proofErr w:type="spellEnd"/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wynosi:</w:t>
            </w:r>
          </w:p>
          <w:p w14:paraId="29CE3CE8" w14:textId="68276FB6" w:rsidR="008B0BF1" w:rsidRPr="007C7AE6" w:rsidRDefault="008B0BF1">
            <w:pPr>
              <w:pStyle w:val="Akapitzlist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C7AE6">
              <w:rPr>
                <w:sz w:val="20"/>
                <w:szCs w:val="20"/>
              </w:rPr>
              <w:t>45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mg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podawana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doustnie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raz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na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dobę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–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u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pacjenta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z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mutacją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T315I,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mutacjami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złożonymi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lub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progresją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przewlekłej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białaczki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szpikowej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do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fazy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akceleracji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lub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fazy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kryzy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blastycznej,</w:t>
            </w:r>
          </w:p>
          <w:p w14:paraId="680348DA" w14:textId="40EA188E" w:rsidR="008B0BF1" w:rsidRPr="007C7AE6" w:rsidRDefault="008B0BF1">
            <w:pPr>
              <w:pStyle w:val="Akapitzlist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C7AE6">
              <w:rPr>
                <w:sz w:val="20"/>
                <w:szCs w:val="20"/>
              </w:rPr>
              <w:t>30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mg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lub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15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mg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podawana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doustnie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raz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na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dobę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–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u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pacjenta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nietolerującego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uprzedniego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leczenia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inhibitorami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kinaz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tyrozynowych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lub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z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opornością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i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współistniejącym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podwyższonym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ryzkiem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powikłań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w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układzie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sercowo-naczyniowym.</w:t>
            </w:r>
          </w:p>
          <w:p w14:paraId="610EB25A" w14:textId="68100EF7" w:rsidR="008B0BF1" w:rsidRPr="007C7AE6" w:rsidRDefault="008B0BF1" w:rsidP="008B0BF1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7C7AE6">
              <w:rPr>
                <w:sz w:val="20"/>
                <w:szCs w:val="20"/>
              </w:rPr>
              <w:t>U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świadczeniobiorcy,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który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osiągnął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przynajmniej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częściową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odpowiedź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cytogenetyczną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(odsetek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komórek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Ph(+)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w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szpiku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&lt;35%)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lub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BCR-ABL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&lt;10%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IS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(MR</w:t>
            </w:r>
            <w:r w:rsidRPr="007C7AE6">
              <w:rPr>
                <w:sz w:val="20"/>
                <w:szCs w:val="20"/>
                <w:vertAlign w:val="superscript"/>
              </w:rPr>
              <w:t>1</w:t>
            </w:r>
            <w:r w:rsidRPr="007C7AE6">
              <w:rPr>
                <w:sz w:val="20"/>
                <w:szCs w:val="20"/>
              </w:rPr>
              <w:t>),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można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zredukować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dawkę</w:t>
            </w:r>
            <w:r w:rsidR="00804BA0">
              <w:rPr>
                <w:sz w:val="20"/>
                <w:szCs w:val="20"/>
              </w:rPr>
              <w:t xml:space="preserve"> </w:t>
            </w:r>
            <w:proofErr w:type="spellStart"/>
            <w:r w:rsidRPr="007C7AE6">
              <w:rPr>
                <w:i/>
                <w:iCs/>
                <w:sz w:val="20"/>
                <w:szCs w:val="20"/>
              </w:rPr>
              <w:t>ponatynibu</w:t>
            </w:r>
            <w:proofErr w:type="spellEnd"/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do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30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mg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lub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15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mg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raz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na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dobę,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w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zależności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od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głębokości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odpowiedzi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i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tolerancji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leczenia.</w:t>
            </w:r>
          </w:p>
          <w:p w14:paraId="0BDD1AC3" w14:textId="77777777" w:rsidR="008B0BF1" w:rsidRPr="007C7AE6" w:rsidRDefault="008B0BF1" w:rsidP="008B0BF1">
            <w:pPr>
              <w:autoSpaceDE w:val="0"/>
              <w:autoSpaceDN w:val="0"/>
              <w:adjustRightInd w:val="0"/>
              <w:spacing w:after="60" w:line="276" w:lineRule="auto"/>
              <w:ind w:left="227"/>
              <w:jc w:val="both"/>
              <w:rPr>
                <w:sz w:val="20"/>
                <w:szCs w:val="20"/>
              </w:rPr>
            </w:pPr>
          </w:p>
          <w:p w14:paraId="3C586C2E" w14:textId="77777777" w:rsidR="008B0BF1" w:rsidRPr="007C7AE6" w:rsidRDefault="008B0BF1">
            <w:pPr>
              <w:pStyle w:val="Akapitzlist"/>
              <w:numPr>
                <w:ilvl w:val="1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  <w:u w:val="single"/>
              </w:rPr>
            </w:pPr>
            <w:proofErr w:type="spellStart"/>
            <w:r w:rsidRPr="007C7AE6">
              <w:rPr>
                <w:b/>
                <w:bCs/>
                <w:sz w:val="20"/>
                <w:szCs w:val="20"/>
              </w:rPr>
              <w:t>asciminib</w:t>
            </w:r>
            <w:proofErr w:type="spellEnd"/>
          </w:p>
          <w:p w14:paraId="273AE32D" w14:textId="77C1EAFD" w:rsidR="008B0BF1" w:rsidRPr="007C7AE6" w:rsidRDefault="008B0BF1" w:rsidP="008B0BF1">
            <w:pPr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  <w:r w:rsidRPr="007C7AE6">
              <w:rPr>
                <w:color w:val="000000"/>
                <w:sz w:val="20"/>
                <w:szCs w:val="20"/>
              </w:rPr>
              <w:t>Zalecana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dawka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7AE6">
              <w:rPr>
                <w:i/>
                <w:iCs/>
                <w:color w:val="000000"/>
                <w:sz w:val="20"/>
                <w:szCs w:val="20"/>
              </w:rPr>
              <w:t>asciminibu</w:t>
            </w:r>
            <w:proofErr w:type="spellEnd"/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wynosi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40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mg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podawana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doustnie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dwa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razy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na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dobę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(co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odpowiada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całkowitej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dawce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dobowej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80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mg).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</w:p>
          <w:p w14:paraId="1929ED3F" w14:textId="6C475FA9" w:rsidR="008B0BF1" w:rsidRPr="007C7AE6" w:rsidRDefault="008B0BF1" w:rsidP="008B0BF1">
            <w:pPr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  <w:r w:rsidRPr="007C7AE6">
              <w:rPr>
                <w:color w:val="000000"/>
                <w:sz w:val="20"/>
                <w:szCs w:val="20"/>
              </w:rPr>
              <w:t>Odstęp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pomiędzy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kolejnymi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dawkami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powinien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wynosić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około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12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godzin.</w:t>
            </w:r>
          </w:p>
          <w:bookmarkEnd w:id="1"/>
          <w:p w14:paraId="787F50B1" w14:textId="77777777" w:rsidR="008B0BF1" w:rsidRPr="007C7AE6" w:rsidRDefault="008B0BF1" w:rsidP="008B0BF1">
            <w:pPr>
              <w:tabs>
                <w:tab w:val="left" w:pos="1095"/>
              </w:tabs>
              <w:spacing w:after="60" w:line="276" w:lineRule="auto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</w:p>
          <w:p w14:paraId="47478917" w14:textId="7F25EBB2" w:rsidR="008B0BF1" w:rsidRPr="007C7AE6" w:rsidRDefault="008B0BF1">
            <w:pPr>
              <w:pStyle w:val="Akapitzlist"/>
              <w:numPr>
                <w:ilvl w:val="0"/>
                <w:numId w:val="4"/>
              </w:numPr>
              <w:tabs>
                <w:tab w:val="left" w:pos="1095"/>
              </w:tabs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7C7AE6">
              <w:rPr>
                <w:b/>
                <w:bCs/>
                <w:sz w:val="20"/>
                <w:szCs w:val="20"/>
              </w:rPr>
              <w:t>Modyfikacja</w:t>
            </w:r>
            <w:r w:rsidR="00804BA0">
              <w:rPr>
                <w:b/>
                <w:bCs/>
                <w:sz w:val="20"/>
                <w:szCs w:val="20"/>
              </w:rPr>
              <w:t xml:space="preserve"> </w:t>
            </w:r>
            <w:r w:rsidRPr="007C7AE6">
              <w:rPr>
                <w:b/>
                <w:bCs/>
                <w:sz w:val="20"/>
                <w:szCs w:val="20"/>
              </w:rPr>
              <w:t>dawkowania,</w:t>
            </w:r>
            <w:r w:rsidR="00804BA0">
              <w:rPr>
                <w:b/>
                <w:bCs/>
                <w:sz w:val="20"/>
                <w:szCs w:val="20"/>
              </w:rPr>
              <w:t xml:space="preserve"> </w:t>
            </w:r>
            <w:r w:rsidRPr="007C7AE6">
              <w:rPr>
                <w:b/>
                <w:bCs/>
                <w:sz w:val="20"/>
                <w:szCs w:val="20"/>
              </w:rPr>
              <w:t>dodatkowe</w:t>
            </w:r>
            <w:r w:rsidR="00804BA0">
              <w:rPr>
                <w:b/>
                <w:bCs/>
                <w:sz w:val="20"/>
                <w:szCs w:val="20"/>
              </w:rPr>
              <w:t xml:space="preserve"> </w:t>
            </w:r>
            <w:r w:rsidRPr="007C7AE6">
              <w:rPr>
                <w:b/>
                <w:bCs/>
                <w:sz w:val="20"/>
                <w:szCs w:val="20"/>
              </w:rPr>
              <w:t>informacje</w:t>
            </w:r>
          </w:p>
          <w:p w14:paraId="19B22D7D" w14:textId="510E4F28" w:rsidR="00B2385C" w:rsidRPr="007C7AE6" w:rsidRDefault="008B0BF1" w:rsidP="008B0BF1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C7AE6">
              <w:rPr>
                <w:sz w:val="20"/>
                <w:szCs w:val="20"/>
              </w:rPr>
              <w:lastRenderedPageBreak/>
              <w:t>Szczegóły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dotyczące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sposobu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podawania,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ewentualnego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czasowego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wstrzymania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leczenia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oraz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ewentualnego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zmniejszania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dawki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leku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zgodnie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z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aktualną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Charakterystyką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Produktu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Leczniczego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odpowiedniego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leku.</w:t>
            </w:r>
            <w:r w:rsidR="00804BA0">
              <w:rPr>
                <w:sz w:val="20"/>
                <w:szCs w:val="20"/>
              </w:rPr>
              <w:t xml:space="preserve"> </w:t>
            </w:r>
          </w:p>
        </w:tc>
        <w:tc>
          <w:tcPr>
            <w:tcW w:w="5612" w:type="dxa"/>
          </w:tcPr>
          <w:p w14:paraId="069A4C8F" w14:textId="268A7300" w:rsidR="008B0BF1" w:rsidRPr="007C7AE6" w:rsidRDefault="008B0BF1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b/>
                <w:sz w:val="20"/>
                <w:szCs w:val="20"/>
              </w:rPr>
            </w:pPr>
            <w:r w:rsidRPr="007C7AE6">
              <w:rPr>
                <w:b/>
                <w:sz w:val="20"/>
                <w:szCs w:val="20"/>
              </w:rPr>
              <w:lastRenderedPageBreak/>
              <w:t>Badania</w:t>
            </w:r>
            <w:r w:rsidR="00804BA0">
              <w:rPr>
                <w:b/>
                <w:sz w:val="20"/>
                <w:szCs w:val="20"/>
              </w:rPr>
              <w:t xml:space="preserve"> </w:t>
            </w:r>
            <w:r w:rsidRPr="007C7AE6">
              <w:rPr>
                <w:b/>
                <w:sz w:val="20"/>
                <w:szCs w:val="20"/>
              </w:rPr>
              <w:t>przy</w:t>
            </w:r>
            <w:r w:rsidR="00804BA0">
              <w:rPr>
                <w:b/>
                <w:sz w:val="20"/>
                <w:szCs w:val="20"/>
              </w:rPr>
              <w:t xml:space="preserve"> </w:t>
            </w:r>
            <w:r w:rsidRPr="007C7AE6">
              <w:rPr>
                <w:b/>
                <w:sz w:val="20"/>
                <w:szCs w:val="20"/>
              </w:rPr>
              <w:t>kwalifikacji</w:t>
            </w:r>
          </w:p>
          <w:p w14:paraId="6877B435" w14:textId="30B6889B" w:rsidR="008B0BF1" w:rsidRPr="007C7AE6" w:rsidRDefault="008B0BF1">
            <w:pPr>
              <w:numPr>
                <w:ilvl w:val="3"/>
                <w:numId w:val="5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C7AE6">
              <w:rPr>
                <w:sz w:val="20"/>
                <w:szCs w:val="20"/>
              </w:rPr>
              <w:t>badanie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cytogenetyczne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szpiku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lub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badanie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molekularne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PCR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na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obecność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genu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BCR-ABL;</w:t>
            </w:r>
          </w:p>
          <w:p w14:paraId="5349402D" w14:textId="6F20E95D" w:rsidR="008B0BF1" w:rsidRPr="007C7AE6" w:rsidRDefault="008B0BF1">
            <w:pPr>
              <w:pStyle w:val="Akapitzlist"/>
              <w:numPr>
                <w:ilvl w:val="3"/>
                <w:numId w:val="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C7AE6">
              <w:rPr>
                <w:sz w:val="20"/>
                <w:szCs w:val="20"/>
              </w:rPr>
              <w:t>morfologia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krwi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z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rozmazem;</w:t>
            </w:r>
          </w:p>
          <w:p w14:paraId="3C2FDFE8" w14:textId="00236815" w:rsidR="008B0BF1" w:rsidRPr="007C7AE6" w:rsidRDefault="008B0BF1">
            <w:pPr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7C7AE6">
              <w:rPr>
                <w:sz w:val="20"/>
                <w:szCs w:val="20"/>
              </w:rPr>
              <w:t>oznaczenie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aktywności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aminotransferazy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alaninowej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(ALT);</w:t>
            </w:r>
          </w:p>
          <w:p w14:paraId="13AD8DCB" w14:textId="7B36C823" w:rsidR="008B0BF1" w:rsidRPr="007C7AE6" w:rsidRDefault="008B0BF1">
            <w:pPr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7C7AE6">
              <w:rPr>
                <w:sz w:val="20"/>
                <w:szCs w:val="20"/>
              </w:rPr>
              <w:t>oznaczenie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aktywności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aminotransferazy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asparaginianowej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(AST);</w:t>
            </w:r>
          </w:p>
          <w:p w14:paraId="0425554E" w14:textId="2D797F28" w:rsidR="008B0BF1" w:rsidRPr="007C7AE6" w:rsidRDefault="008B0BF1">
            <w:pPr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7C7AE6">
              <w:rPr>
                <w:sz w:val="20"/>
                <w:szCs w:val="20"/>
              </w:rPr>
              <w:t>oznaczenie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stężenia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bilirubiny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całkowitej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w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surowicy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krwi;</w:t>
            </w:r>
          </w:p>
          <w:p w14:paraId="2746396D" w14:textId="468EECB9" w:rsidR="008B0BF1" w:rsidRPr="007C7AE6" w:rsidRDefault="008B0BF1">
            <w:pPr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7C7AE6">
              <w:rPr>
                <w:sz w:val="20"/>
                <w:szCs w:val="20"/>
              </w:rPr>
              <w:t>oznaczenie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stężenia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kreatyniny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w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surowicy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krwi;</w:t>
            </w:r>
          </w:p>
          <w:p w14:paraId="4C15C4E4" w14:textId="5FB788CB" w:rsidR="008B0BF1" w:rsidRPr="007C7AE6" w:rsidRDefault="008B0BF1">
            <w:pPr>
              <w:numPr>
                <w:ilvl w:val="3"/>
                <w:numId w:val="5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C7AE6">
              <w:rPr>
                <w:sz w:val="20"/>
                <w:szCs w:val="20"/>
              </w:rPr>
              <w:t>badanie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cytogenetyczne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krwi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(opcjonalnie);</w:t>
            </w:r>
          </w:p>
          <w:p w14:paraId="7A2F44CD" w14:textId="4A8B8AFE" w:rsidR="008B0BF1" w:rsidRPr="007C7AE6" w:rsidRDefault="008B0BF1">
            <w:pPr>
              <w:numPr>
                <w:ilvl w:val="3"/>
                <w:numId w:val="5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C7AE6">
              <w:rPr>
                <w:sz w:val="20"/>
                <w:szCs w:val="20"/>
              </w:rPr>
              <w:t>badanie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cytologiczne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szpiku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(opcjonalnie);</w:t>
            </w:r>
          </w:p>
          <w:p w14:paraId="026F74D9" w14:textId="341A36F6" w:rsidR="008B0BF1" w:rsidRPr="007C7AE6" w:rsidRDefault="008B0BF1">
            <w:pPr>
              <w:numPr>
                <w:ilvl w:val="3"/>
                <w:numId w:val="5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C7AE6">
              <w:rPr>
                <w:sz w:val="20"/>
                <w:szCs w:val="20"/>
              </w:rPr>
              <w:t>badanie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mutacji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domeny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kinazy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ABL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w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przypadku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oporności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na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poprzednio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stosowany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inhibitor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kinazy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tyrozynowej;</w:t>
            </w:r>
          </w:p>
          <w:p w14:paraId="08E24C6D" w14:textId="6545978C" w:rsidR="008B0BF1" w:rsidRPr="007C7AE6" w:rsidRDefault="008B0BF1">
            <w:pPr>
              <w:pStyle w:val="Akapitzlist"/>
              <w:numPr>
                <w:ilvl w:val="3"/>
                <w:numId w:val="5"/>
              </w:numPr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7C7AE6">
              <w:rPr>
                <w:color w:val="000000"/>
                <w:sz w:val="20"/>
                <w:szCs w:val="20"/>
              </w:rPr>
              <w:t>dodatkowo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w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przypadku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terapii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7AE6">
              <w:rPr>
                <w:i/>
                <w:iCs/>
                <w:color w:val="000000"/>
                <w:sz w:val="20"/>
                <w:szCs w:val="20"/>
              </w:rPr>
              <w:t>nilotynibem</w:t>
            </w:r>
            <w:proofErr w:type="spellEnd"/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lub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7AE6">
              <w:rPr>
                <w:i/>
                <w:iCs/>
                <w:color w:val="000000"/>
                <w:sz w:val="20"/>
                <w:szCs w:val="20"/>
              </w:rPr>
              <w:t>ponatynibem</w:t>
            </w:r>
            <w:proofErr w:type="spellEnd"/>
            <w:r w:rsidRPr="007C7AE6">
              <w:rPr>
                <w:color w:val="000000"/>
                <w:sz w:val="20"/>
                <w:szCs w:val="20"/>
              </w:rPr>
              <w:t>:</w:t>
            </w:r>
          </w:p>
          <w:p w14:paraId="6C9AAFCA" w14:textId="20D321B4" w:rsidR="008B0BF1" w:rsidRPr="007C7AE6" w:rsidRDefault="008B0BF1">
            <w:pPr>
              <w:pStyle w:val="Akapitzlist"/>
              <w:numPr>
                <w:ilvl w:val="4"/>
                <w:numId w:val="5"/>
              </w:numPr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7C7AE6">
              <w:rPr>
                <w:color w:val="000000"/>
                <w:sz w:val="20"/>
                <w:szCs w:val="20"/>
              </w:rPr>
              <w:t>oznaczenie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stężenia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lipazy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w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surowicy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krwi,</w:t>
            </w:r>
          </w:p>
          <w:p w14:paraId="0556C014" w14:textId="7497E2BD" w:rsidR="008B0BF1" w:rsidRPr="007C7AE6" w:rsidRDefault="008B0BF1">
            <w:pPr>
              <w:pStyle w:val="Akapitzlist"/>
              <w:numPr>
                <w:ilvl w:val="4"/>
                <w:numId w:val="5"/>
              </w:numPr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7C7AE6">
              <w:rPr>
                <w:color w:val="000000"/>
                <w:sz w:val="20"/>
                <w:szCs w:val="20"/>
              </w:rPr>
              <w:t>oznaczenie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stężenia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trójglicerydów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we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krwi,</w:t>
            </w:r>
          </w:p>
          <w:p w14:paraId="6C137297" w14:textId="70E63B78" w:rsidR="008B0BF1" w:rsidRPr="007C7AE6" w:rsidRDefault="008B0BF1">
            <w:pPr>
              <w:pStyle w:val="Akapitzlist"/>
              <w:numPr>
                <w:ilvl w:val="4"/>
                <w:numId w:val="5"/>
              </w:numPr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7C7AE6">
              <w:rPr>
                <w:color w:val="000000"/>
                <w:sz w:val="20"/>
                <w:szCs w:val="20"/>
              </w:rPr>
              <w:t>oznaczenie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stężenia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cholesterolu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całkowitego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we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krwi,</w:t>
            </w:r>
          </w:p>
          <w:p w14:paraId="411FF4F4" w14:textId="053D229D" w:rsidR="008B0BF1" w:rsidRPr="007C7AE6" w:rsidRDefault="008B0BF1">
            <w:pPr>
              <w:pStyle w:val="Akapitzlist"/>
              <w:numPr>
                <w:ilvl w:val="4"/>
                <w:numId w:val="5"/>
              </w:numPr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7C7AE6">
              <w:rPr>
                <w:color w:val="000000"/>
                <w:sz w:val="20"/>
                <w:szCs w:val="20"/>
              </w:rPr>
              <w:t>oznaczenie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stężenia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cholesterolu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HDL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we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krwi,</w:t>
            </w:r>
          </w:p>
          <w:p w14:paraId="02051647" w14:textId="214BC400" w:rsidR="008B0BF1" w:rsidRPr="007C7AE6" w:rsidRDefault="008B0BF1">
            <w:pPr>
              <w:pStyle w:val="Akapitzlist"/>
              <w:numPr>
                <w:ilvl w:val="4"/>
                <w:numId w:val="5"/>
              </w:numPr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7C7AE6">
              <w:rPr>
                <w:color w:val="000000"/>
                <w:sz w:val="20"/>
                <w:szCs w:val="20"/>
              </w:rPr>
              <w:t>oznaczenie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stężenia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cholesterolu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LDL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we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krwi;</w:t>
            </w:r>
          </w:p>
          <w:p w14:paraId="183448E9" w14:textId="6C04A47A" w:rsidR="008B0BF1" w:rsidRPr="007C7AE6" w:rsidRDefault="008B0BF1">
            <w:pPr>
              <w:pStyle w:val="Akapitzlist"/>
              <w:numPr>
                <w:ilvl w:val="3"/>
                <w:numId w:val="5"/>
              </w:numPr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7C7AE6">
              <w:rPr>
                <w:color w:val="000000"/>
                <w:sz w:val="20"/>
                <w:szCs w:val="20"/>
              </w:rPr>
              <w:lastRenderedPageBreak/>
              <w:t>dodatkowo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w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przypadku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terapii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7AE6">
              <w:rPr>
                <w:i/>
                <w:iCs/>
                <w:color w:val="000000"/>
                <w:sz w:val="20"/>
                <w:szCs w:val="20"/>
              </w:rPr>
              <w:t>asciminibem</w:t>
            </w:r>
            <w:proofErr w:type="spellEnd"/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–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oznaczenie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stężenia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lipazy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w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surowicy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krwi.</w:t>
            </w:r>
          </w:p>
          <w:p w14:paraId="28DDBF15" w14:textId="77777777" w:rsidR="008B0BF1" w:rsidRPr="007C7AE6" w:rsidRDefault="008B0BF1" w:rsidP="008B0BF1">
            <w:pPr>
              <w:spacing w:after="60" w:line="276" w:lineRule="auto"/>
              <w:ind w:left="454"/>
              <w:jc w:val="both"/>
              <w:rPr>
                <w:color w:val="000000"/>
                <w:sz w:val="20"/>
                <w:szCs w:val="20"/>
              </w:rPr>
            </w:pPr>
          </w:p>
          <w:p w14:paraId="5DF84817" w14:textId="63A10549" w:rsidR="008B0BF1" w:rsidRPr="007C7AE6" w:rsidRDefault="008B0BF1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sz w:val="20"/>
                <w:szCs w:val="20"/>
              </w:rPr>
            </w:pPr>
            <w:r w:rsidRPr="007C7AE6">
              <w:rPr>
                <w:b/>
                <w:sz w:val="20"/>
                <w:szCs w:val="20"/>
              </w:rPr>
              <w:t>Monitorowanie</w:t>
            </w:r>
            <w:r w:rsidR="00804BA0">
              <w:rPr>
                <w:b/>
                <w:sz w:val="20"/>
                <w:szCs w:val="20"/>
              </w:rPr>
              <w:t xml:space="preserve"> </w:t>
            </w:r>
            <w:r w:rsidRPr="007C7AE6">
              <w:rPr>
                <w:b/>
                <w:sz w:val="20"/>
                <w:szCs w:val="20"/>
              </w:rPr>
              <w:t>bezpieczeństwa</w:t>
            </w:r>
            <w:r w:rsidR="00804BA0">
              <w:rPr>
                <w:b/>
                <w:sz w:val="20"/>
                <w:szCs w:val="20"/>
              </w:rPr>
              <w:t xml:space="preserve"> </w:t>
            </w:r>
            <w:r w:rsidRPr="007C7AE6">
              <w:rPr>
                <w:b/>
                <w:sz w:val="20"/>
                <w:szCs w:val="20"/>
              </w:rPr>
              <w:t>leczenia</w:t>
            </w:r>
          </w:p>
          <w:p w14:paraId="18F294CA" w14:textId="76291DA2" w:rsidR="008B0BF1" w:rsidRPr="007C7AE6" w:rsidRDefault="008B0BF1" w:rsidP="008B0BF1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7C7AE6">
              <w:rPr>
                <w:sz w:val="20"/>
                <w:szCs w:val="20"/>
              </w:rPr>
              <w:t>Badania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wykonywane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raz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w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miesiącu,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a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po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uzyskaniu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całkowitej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remisji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hematologicznej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co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3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miesiące:</w:t>
            </w:r>
          </w:p>
          <w:p w14:paraId="2D42DB95" w14:textId="36852C6E" w:rsidR="008B0BF1" w:rsidRPr="007C7AE6" w:rsidRDefault="008B0BF1">
            <w:pPr>
              <w:pStyle w:val="Akapitzlist"/>
              <w:numPr>
                <w:ilvl w:val="3"/>
                <w:numId w:val="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C7AE6">
              <w:rPr>
                <w:sz w:val="20"/>
                <w:szCs w:val="20"/>
              </w:rPr>
              <w:t>morfologia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krwi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z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rozmazem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(wykonywana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także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w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ramach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monitorowania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skuteczności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leczenia);</w:t>
            </w:r>
          </w:p>
          <w:p w14:paraId="78EEA091" w14:textId="3F06BDA7" w:rsidR="008B0BF1" w:rsidRPr="007C7AE6" w:rsidRDefault="008B0BF1">
            <w:pPr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7C7AE6">
              <w:rPr>
                <w:sz w:val="20"/>
                <w:szCs w:val="20"/>
              </w:rPr>
              <w:t>oznaczenie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aktywności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aminotransferazy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alaninowej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(ALT);</w:t>
            </w:r>
          </w:p>
          <w:p w14:paraId="7592D8C7" w14:textId="72AF76E1" w:rsidR="008B0BF1" w:rsidRPr="007C7AE6" w:rsidRDefault="008B0BF1">
            <w:pPr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7C7AE6">
              <w:rPr>
                <w:sz w:val="20"/>
                <w:szCs w:val="20"/>
              </w:rPr>
              <w:t>oznaczenie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aktywności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aminotransferazy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asparaginianowej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(AST);</w:t>
            </w:r>
          </w:p>
          <w:p w14:paraId="1D933F1C" w14:textId="143597B9" w:rsidR="008B0BF1" w:rsidRPr="007C7AE6" w:rsidRDefault="008B0BF1">
            <w:pPr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7C7AE6">
              <w:rPr>
                <w:sz w:val="20"/>
                <w:szCs w:val="20"/>
              </w:rPr>
              <w:t>oznaczenie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stężenia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bilirubiny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całkowitej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w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surowicy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krwi;</w:t>
            </w:r>
          </w:p>
          <w:p w14:paraId="34E8CF8B" w14:textId="3F8CF7C0" w:rsidR="008B0BF1" w:rsidRPr="007C7AE6" w:rsidRDefault="008B0BF1">
            <w:pPr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7C7AE6">
              <w:rPr>
                <w:sz w:val="20"/>
                <w:szCs w:val="20"/>
              </w:rPr>
              <w:t>oznaczenie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stężenia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kreatyniny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w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surowicy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krwi;</w:t>
            </w:r>
          </w:p>
          <w:p w14:paraId="626ECE14" w14:textId="08C2DD52" w:rsidR="008B0BF1" w:rsidRPr="007C7AE6" w:rsidRDefault="008B0BF1">
            <w:pPr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7C7AE6">
              <w:rPr>
                <w:color w:val="000000"/>
                <w:sz w:val="20"/>
                <w:szCs w:val="20"/>
              </w:rPr>
              <w:t>dodatkowo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w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przypadku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terapii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7AE6">
              <w:rPr>
                <w:i/>
                <w:iCs/>
                <w:color w:val="000000"/>
                <w:sz w:val="20"/>
                <w:szCs w:val="20"/>
              </w:rPr>
              <w:t>ponatynibem</w:t>
            </w:r>
            <w:proofErr w:type="spellEnd"/>
            <w:r w:rsidRPr="007C7AE6">
              <w:rPr>
                <w:color w:val="000000"/>
                <w:sz w:val="20"/>
                <w:szCs w:val="20"/>
              </w:rPr>
              <w:t>,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7AE6">
              <w:rPr>
                <w:i/>
                <w:iCs/>
                <w:color w:val="000000"/>
                <w:sz w:val="20"/>
                <w:szCs w:val="20"/>
              </w:rPr>
              <w:t>asciminibem</w:t>
            </w:r>
            <w:proofErr w:type="spellEnd"/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–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oznaczenie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stężenia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lipazy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w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surowicy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krwi;</w:t>
            </w:r>
          </w:p>
          <w:p w14:paraId="4FE4B326" w14:textId="378AE7EE" w:rsidR="008B0BF1" w:rsidRPr="007C7AE6" w:rsidRDefault="008B0BF1">
            <w:pPr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7C7AE6">
              <w:rPr>
                <w:color w:val="000000"/>
                <w:sz w:val="20"/>
                <w:szCs w:val="20"/>
              </w:rPr>
              <w:t>dodatkowo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w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przypadku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terapii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7AE6">
              <w:rPr>
                <w:i/>
                <w:iCs/>
                <w:color w:val="000000"/>
                <w:sz w:val="20"/>
                <w:szCs w:val="20"/>
              </w:rPr>
              <w:t>nilotynibem</w:t>
            </w:r>
            <w:proofErr w:type="spellEnd"/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lub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7AE6">
              <w:rPr>
                <w:i/>
                <w:iCs/>
                <w:color w:val="000000"/>
                <w:sz w:val="20"/>
                <w:szCs w:val="20"/>
              </w:rPr>
              <w:t>ponatynibem</w:t>
            </w:r>
            <w:proofErr w:type="spellEnd"/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(dotyczy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tylko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chorych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z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wyjściowo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nieprawidłowym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wynikiem):</w:t>
            </w:r>
          </w:p>
          <w:p w14:paraId="13B9A980" w14:textId="095DE2B2" w:rsidR="008B0BF1" w:rsidRPr="007C7AE6" w:rsidRDefault="008B0BF1">
            <w:pPr>
              <w:pStyle w:val="Akapitzlist"/>
              <w:numPr>
                <w:ilvl w:val="4"/>
                <w:numId w:val="5"/>
              </w:numPr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7C7AE6">
              <w:rPr>
                <w:color w:val="000000"/>
                <w:sz w:val="20"/>
                <w:szCs w:val="20"/>
              </w:rPr>
              <w:t>oznaczenie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stężenia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trójglicerydów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we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krwi,</w:t>
            </w:r>
          </w:p>
          <w:p w14:paraId="54A84E2B" w14:textId="28119175" w:rsidR="008B0BF1" w:rsidRPr="007C7AE6" w:rsidRDefault="008B0BF1">
            <w:pPr>
              <w:pStyle w:val="Akapitzlist"/>
              <w:numPr>
                <w:ilvl w:val="4"/>
                <w:numId w:val="5"/>
              </w:numPr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7C7AE6">
              <w:rPr>
                <w:color w:val="000000"/>
                <w:sz w:val="20"/>
                <w:szCs w:val="20"/>
              </w:rPr>
              <w:t>oznaczenie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stężenia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cholesterolu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całkowitego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we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krwi,</w:t>
            </w:r>
          </w:p>
          <w:p w14:paraId="57CBAA13" w14:textId="7EC80BE6" w:rsidR="008B0BF1" w:rsidRPr="007C7AE6" w:rsidRDefault="008B0BF1">
            <w:pPr>
              <w:pStyle w:val="Akapitzlist"/>
              <w:numPr>
                <w:ilvl w:val="4"/>
                <w:numId w:val="5"/>
              </w:numPr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7C7AE6">
              <w:rPr>
                <w:color w:val="000000"/>
                <w:sz w:val="20"/>
                <w:szCs w:val="20"/>
              </w:rPr>
              <w:t>oznaczenie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stężenia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cholesterolu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HDL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we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krwi,</w:t>
            </w:r>
          </w:p>
          <w:p w14:paraId="3B488EAB" w14:textId="1F3181AD" w:rsidR="008B0BF1" w:rsidRPr="007C7AE6" w:rsidRDefault="008B0BF1">
            <w:pPr>
              <w:pStyle w:val="Akapitzlist"/>
              <w:numPr>
                <w:ilvl w:val="4"/>
                <w:numId w:val="5"/>
              </w:numPr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7C7AE6">
              <w:rPr>
                <w:color w:val="000000"/>
                <w:sz w:val="20"/>
                <w:szCs w:val="20"/>
              </w:rPr>
              <w:t>oznaczenie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stężenia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cholesterolu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LDL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we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krwi.</w:t>
            </w:r>
          </w:p>
          <w:p w14:paraId="699601F2" w14:textId="77777777" w:rsidR="008B0BF1" w:rsidRPr="007C7AE6" w:rsidRDefault="008B0BF1" w:rsidP="008B0BF1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</w:p>
          <w:p w14:paraId="3AD59A39" w14:textId="361937D4" w:rsidR="008B0BF1" w:rsidRPr="007C7AE6" w:rsidRDefault="008B0BF1">
            <w:pPr>
              <w:pStyle w:val="Akapitzlist"/>
              <w:numPr>
                <w:ilvl w:val="0"/>
                <w:numId w:val="5"/>
              </w:numPr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7C7AE6">
              <w:rPr>
                <w:b/>
                <w:bCs/>
                <w:sz w:val="20"/>
                <w:szCs w:val="20"/>
              </w:rPr>
              <w:t>Monitorowanie</w:t>
            </w:r>
            <w:r w:rsidR="00804BA0">
              <w:rPr>
                <w:b/>
                <w:bCs/>
                <w:sz w:val="20"/>
                <w:szCs w:val="20"/>
              </w:rPr>
              <w:t xml:space="preserve"> </w:t>
            </w:r>
            <w:r w:rsidRPr="007C7AE6">
              <w:rPr>
                <w:b/>
                <w:bCs/>
                <w:sz w:val="20"/>
                <w:szCs w:val="20"/>
              </w:rPr>
              <w:t>skuteczności</w:t>
            </w:r>
            <w:r w:rsidR="00804BA0">
              <w:rPr>
                <w:b/>
                <w:bCs/>
                <w:sz w:val="20"/>
                <w:szCs w:val="20"/>
              </w:rPr>
              <w:t xml:space="preserve"> </w:t>
            </w:r>
            <w:r w:rsidRPr="007C7AE6">
              <w:rPr>
                <w:b/>
                <w:bCs/>
                <w:sz w:val="20"/>
                <w:szCs w:val="20"/>
              </w:rPr>
              <w:t>leczenia</w:t>
            </w:r>
          </w:p>
          <w:p w14:paraId="2F8A5978" w14:textId="4CA76067" w:rsidR="008B0BF1" w:rsidRPr="007C7AE6" w:rsidRDefault="008B0BF1" w:rsidP="008B0BF1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7C7AE6">
              <w:rPr>
                <w:sz w:val="20"/>
                <w:szCs w:val="20"/>
              </w:rPr>
              <w:t>Badania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pozwalające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na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ocenę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skuteczności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prowadzonego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leczenia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należy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wykonać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zgodnie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z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aktualnymi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rekomendacjami:</w:t>
            </w:r>
          </w:p>
          <w:p w14:paraId="6997257C" w14:textId="6B630D01" w:rsidR="008B0BF1" w:rsidRPr="007C7AE6" w:rsidRDefault="008B0BF1">
            <w:pPr>
              <w:pStyle w:val="Akapitzlist"/>
              <w:numPr>
                <w:ilvl w:val="3"/>
                <w:numId w:val="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C7AE6">
              <w:rPr>
                <w:sz w:val="20"/>
                <w:szCs w:val="20"/>
              </w:rPr>
              <w:t>badanie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cytogenetyczne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lub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ilościowe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molekularne*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–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co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3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miesiące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do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uzyskania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całkowitej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odpowiedzi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cytogenetycznej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lastRenderedPageBreak/>
              <w:t>–</w:t>
            </w:r>
            <w:r w:rsidR="00804BA0">
              <w:rPr>
                <w:sz w:val="20"/>
                <w:szCs w:val="20"/>
              </w:rPr>
              <w:t xml:space="preserve"> </w:t>
            </w:r>
            <w:proofErr w:type="spellStart"/>
            <w:r w:rsidRPr="007C7AE6">
              <w:rPr>
                <w:sz w:val="20"/>
                <w:szCs w:val="20"/>
              </w:rPr>
              <w:t>CCyR</w:t>
            </w:r>
            <w:proofErr w:type="spellEnd"/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lub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BCR-ABL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&lt;1%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IS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(MR</w:t>
            </w:r>
            <w:r w:rsidRPr="007C7AE6">
              <w:rPr>
                <w:sz w:val="20"/>
                <w:szCs w:val="20"/>
                <w:vertAlign w:val="superscript"/>
              </w:rPr>
              <w:t>2</w:t>
            </w:r>
            <w:r w:rsidRPr="007C7AE6">
              <w:rPr>
                <w:sz w:val="20"/>
                <w:szCs w:val="20"/>
              </w:rPr>
              <w:t>),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a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następnie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ilościowe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badanie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molekularne*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co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3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miesiące.</w:t>
            </w:r>
          </w:p>
          <w:p w14:paraId="6685FE88" w14:textId="05415696" w:rsidR="008B0BF1" w:rsidRPr="007C7AE6" w:rsidRDefault="008B0BF1" w:rsidP="008B0BF1">
            <w:pPr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  <w:r w:rsidRPr="007C7AE6">
              <w:rPr>
                <w:color w:val="000000"/>
                <w:sz w:val="20"/>
                <w:szCs w:val="20"/>
              </w:rPr>
              <w:t>Ocena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odpowiedzi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na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leczenie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powinna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być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przeprowadzona,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w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miarę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możliwości,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z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wykorzystaniem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tego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samego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rodzaju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badań,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który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był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zastosowany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podczas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kwalifikowania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pacjenta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do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leczenia.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</w:p>
          <w:p w14:paraId="3D82843E" w14:textId="2BDE6750" w:rsidR="008B0BF1" w:rsidRPr="007C7AE6" w:rsidRDefault="008B0BF1" w:rsidP="008B0BF1">
            <w:pPr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  <w:r w:rsidRPr="007C7AE6">
              <w:rPr>
                <w:color w:val="000000"/>
                <w:sz w:val="20"/>
                <w:szCs w:val="20"/>
              </w:rPr>
              <w:t>Wykonane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badania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muszą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pozwolić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na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obiektywną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ocenę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odpowiedzi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na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leczenie.</w:t>
            </w:r>
          </w:p>
          <w:p w14:paraId="53181A62" w14:textId="3DEB1C57" w:rsidR="008B0BF1" w:rsidRPr="007C7AE6" w:rsidRDefault="008B0BF1" w:rsidP="008B0BF1">
            <w:pPr>
              <w:tabs>
                <w:tab w:val="left" w:pos="1095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7C7AE6">
              <w:rPr>
                <w:sz w:val="20"/>
                <w:szCs w:val="20"/>
              </w:rPr>
              <w:t>Kryteria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odpowiedzi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na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leczenie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należy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stosować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według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aktualnych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rekomendacji.</w:t>
            </w:r>
          </w:p>
          <w:p w14:paraId="5EB915F7" w14:textId="77777777" w:rsidR="008B0BF1" w:rsidRPr="007C7AE6" w:rsidRDefault="008B0BF1" w:rsidP="008B0BF1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sz w:val="20"/>
                <w:szCs w:val="20"/>
              </w:rPr>
            </w:pPr>
          </w:p>
          <w:p w14:paraId="7D8C81F0" w14:textId="7E54A7A4" w:rsidR="008B0BF1" w:rsidRPr="007C7AE6" w:rsidRDefault="008B0BF1">
            <w:pPr>
              <w:pStyle w:val="Akapitzlist"/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sz w:val="20"/>
                <w:szCs w:val="20"/>
              </w:rPr>
            </w:pPr>
            <w:r w:rsidRPr="007C7AE6">
              <w:rPr>
                <w:b/>
                <w:sz w:val="20"/>
                <w:szCs w:val="20"/>
              </w:rPr>
              <w:t>Monitorowanie</w:t>
            </w:r>
            <w:r w:rsidR="00804BA0">
              <w:rPr>
                <w:b/>
                <w:sz w:val="20"/>
                <w:szCs w:val="20"/>
              </w:rPr>
              <w:t xml:space="preserve"> </w:t>
            </w:r>
            <w:r w:rsidRPr="007C7AE6">
              <w:rPr>
                <w:b/>
                <w:sz w:val="20"/>
                <w:szCs w:val="20"/>
              </w:rPr>
              <w:t>w</w:t>
            </w:r>
            <w:r w:rsidR="00804BA0">
              <w:rPr>
                <w:b/>
                <w:sz w:val="20"/>
                <w:szCs w:val="20"/>
              </w:rPr>
              <w:t xml:space="preserve"> </w:t>
            </w:r>
            <w:r w:rsidRPr="007C7AE6">
              <w:rPr>
                <w:b/>
                <w:sz w:val="20"/>
                <w:szCs w:val="20"/>
              </w:rPr>
              <w:t>fazie</w:t>
            </w:r>
            <w:r w:rsidR="00804BA0">
              <w:rPr>
                <w:b/>
                <w:sz w:val="20"/>
                <w:szCs w:val="20"/>
              </w:rPr>
              <w:t xml:space="preserve"> </w:t>
            </w:r>
            <w:r w:rsidRPr="007C7AE6">
              <w:rPr>
                <w:b/>
                <w:sz w:val="20"/>
                <w:szCs w:val="20"/>
              </w:rPr>
              <w:t>odstawienia</w:t>
            </w:r>
            <w:r w:rsidR="00804BA0">
              <w:rPr>
                <w:b/>
                <w:sz w:val="20"/>
                <w:szCs w:val="20"/>
              </w:rPr>
              <w:t xml:space="preserve"> </w:t>
            </w:r>
            <w:r w:rsidRPr="007C7AE6">
              <w:rPr>
                <w:b/>
                <w:sz w:val="20"/>
                <w:szCs w:val="20"/>
              </w:rPr>
              <w:t>leczenia</w:t>
            </w:r>
            <w:r w:rsidR="00804BA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7C7AE6">
              <w:rPr>
                <w:b/>
                <w:i/>
                <w:iCs/>
                <w:sz w:val="20"/>
                <w:szCs w:val="20"/>
              </w:rPr>
              <w:t>nilotynibem</w:t>
            </w:r>
            <w:proofErr w:type="spellEnd"/>
            <w:r w:rsidR="00804BA0">
              <w:rPr>
                <w:b/>
                <w:sz w:val="20"/>
                <w:szCs w:val="20"/>
              </w:rPr>
              <w:t xml:space="preserve"> </w:t>
            </w:r>
            <w:r w:rsidRPr="007C7AE6">
              <w:rPr>
                <w:b/>
                <w:sz w:val="20"/>
                <w:szCs w:val="20"/>
              </w:rPr>
              <w:t>u</w:t>
            </w:r>
            <w:r w:rsidR="00804BA0">
              <w:rPr>
                <w:b/>
                <w:sz w:val="20"/>
                <w:szCs w:val="20"/>
              </w:rPr>
              <w:t xml:space="preserve"> </w:t>
            </w:r>
            <w:r w:rsidRPr="007C7AE6">
              <w:rPr>
                <w:b/>
                <w:sz w:val="20"/>
                <w:szCs w:val="20"/>
              </w:rPr>
              <w:t>pacjentów</w:t>
            </w:r>
            <w:r w:rsidR="00804BA0">
              <w:rPr>
                <w:b/>
                <w:sz w:val="20"/>
                <w:szCs w:val="20"/>
              </w:rPr>
              <w:t xml:space="preserve"> </w:t>
            </w:r>
            <w:r w:rsidRPr="007C7AE6">
              <w:rPr>
                <w:b/>
                <w:sz w:val="20"/>
                <w:szCs w:val="20"/>
              </w:rPr>
              <w:t>z</w:t>
            </w:r>
            <w:r w:rsidR="00804BA0">
              <w:rPr>
                <w:b/>
                <w:sz w:val="20"/>
                <w:szCs w:val="20"/>
              </w:rPr>
              <w:t xml:space="preserve"> </w:t>
            </w:r>
            <w:r w:rsidRPr="007C7AE6">
              <w:rPr>
                <w:b/>
                <w:sz w:val="20"/>
                <w:szCs w:val="20"/>
              </w:rPr>
              <w:t>uzyskaną</w:t>
            </w:r>
            <w:r w:rsidR="00804BA0">
              <w:rPr>
                <w:b/>
                <w:sz w:val="20"/>
                <w:szCs w:val="20"/>
              </w:rPr>
              <w:t xml:space="preserve"> </w:t>
            </w:r>
            <w:r w:rsidRPr="007C7AE6">
              <w:rPr>
                <w:b/>
                <w:sz w:val="20"/>
                <w:szCs w:val="20"/>
              </w:rPr>
              <w:t>trwałą</w:t>
            </w:r>
            <w:r w:rsidR="00804BA0">
              <w:rPr>
                <w:b/>
                <w:sz w:val="20"/>
                <w:szCs w:val="20"/>
              </w:rPr>
              <w:t xml:space="preserve"> </w:t>
            </w:r>
            <w:r w:rsidRPr="007C7AE6">
              <w:rPr>
                <w:b/>
                <w:sz w:val="20"/>
                <w:szCs w:val="20"/>
              </w:rPr>
              <w:t>głęboką</w:t>
            </w:r>
            <w:r w:rsidR="00804BA0">
              <w:rPr>
                <w:b/>
                <w:sz w:val="20"/>
                <w:szCs w:val="20"/>
              </w:rPr>
              <w:t xml:space="preserve"> </w:t>
            </w:r>
            <w:r w:rsidRPr="007C7AE6">
              <w:rPr>
                <w:b/>
                <w:sz w:val="20"/>
                <w:szCs w:val="20"/>
              </w:rPr>
              <w:t>odpowiedzią</w:t>
            </w:r>
            <w:r w:rsidR="00804BA0">
              <w:rPr>
                <w:b/>
                <w:sz w:val="20"/>
                <w:szCs w:val="20"/>
              </w:rPr>
              <w:t xml:space="preserve"> </w:t>
            </w:r>
            <w:r w:rsidRPr="007C7AE6">
              <w:rPr>
                <w:b/>
                <w:sz w:val="20"/>
                <w:szCs w:val="20"/>
              </w:rPr>
              <w:t>molekularną</w:t>
            </w:r>
            <w:r w:rsidR="00804BA0">
              <w:rPr>
                <w:b/>
                <w:sz w:val="20"/>
                <w:szCs w:val="20"/>
              </w:rPr>
              <w:t xml:space="preserve"> </w:t>
            </w:r>
            <w:r w:rsidRPr="007C7AE6">
              <w:rPr>
                <w:b/>
                <w:sz w:val="20"/>
                <w:szCs w:val="20"/>
              </w:rPr>
              <w:t>(≥MR</w:t>
            </w:r>
            <w:r w:rsidRPr="007C7AE6">
              <w:rPr>
                <w:b/>
                <w:sz w:val="20"/>
                <w:szCs w:val="20"/>
                <w:vertAlign w:val="superscript"/>
              </w:rPr>
              <w:t>4</w:t>
            </w:r>
            <w:r w:rsidRPr="007C7AE6">
              <w:rPr>
                <w:b/>
                <w:sz w:val="20"/>
                <w:szCs w:val="20"/>
              </w:rPr>
              <w:t>)</w:t>
            </w:r>
            <w:r w:rsidR="00804BA0">
              <w:rPr>
                <w:b/>
                <w:sz w:val="20"/>
                <w:szCs w:val="20"/>
              </w:rPr>
              <w:t xml:space="preserve"> </w:t>
            </w:r>
          </w:p>
          <w:p w14:paraId="1261D2E5" w14:textId="4B369D0E" w:rsidR="008B0BF1" w:rsidRPr="007C7AE6" w:rsidRDefault="008B0BF1" w:rsidP="008B0BF1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  <w:r w:rsidRPr="007C7AE6">
              <w:rPr>
                <w:color w:val="000000"/>
                <w:sz w:val="20"/>
                <w:szCs w:val="20"/>
              </w:rPr>
              <w:t>Badania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wykonywane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nie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rzadziej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niż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co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4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tygodnie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przez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pierwsze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6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miesięcy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od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odstawienia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7AE6">
              <w:rPr>
                <w:i/>
                <w:iCs/>
                <w:color w:val="000000"/>
                <w:sz w:val="20"/>
                <w:szCs w:val="20"/>
              </w:rPr>
              <w:t>nilotynibu</w:t>
            </w:r>
            <w:proofErr w:type="spellEnd"/>
            <w:r w:rsidRPr="007C7AE6">
              <w:rPr>
                <w:color w:val="000000"/>
                <w:sz w:val="20"/>
                <w:szCs w:val="20"/>
              </w:rPr>
              <w:t>,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następnie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co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6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tygodni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przez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kolejne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6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miesięcy,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a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później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co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3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miesiące:</w:t>
            </w:r>
          </w:p>
          <w:p w14:paraId="4DE454A9" w14:textId="4F22E106" w:rsidR="008B0BF1" w:rsidRPr="007C7AE6" w:rsidRDefault="008B0BF1">
            <w:pPr>
              <w:pStyle w:val="Akapitzlist"/>
              <w:numPr>
                <w:ilvl w:val="3"/>
                <w:numId w:val="6"/>
              </w:numPr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7C7AE6">
              <w:rPr>
                <w:color w:val="000000"/>
                <w:sz w:val="20"/>
                <w:szCs w:val="20"/>
              </w:rPr>
              <w:t>morfologia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krwi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z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rozmazem;</w:t>
            </w:r>
          </w:p>
          <w:p w14:paraId="4B90BD72" w14:textId="1425DFBD" w:rsidR="008B0BF1" w:rsidRPr="007C7AE6" w:rsidRDefault="008B0BF1">
            <w:pPr>
              <w:pStyle w:val="Akapitzlist"/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7C7AE6">
              <w:rPr>
                <w:color w:val="000000"/>
                <w:sz w:val="20"/>
                <w:szCs w:val="20"/>
              </w:rPr>
              <w:t>ilościowe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badanie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molekularne*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(liczba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kopii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7AE6">
              <w:rPr>
                <w:color w:val="000000"/>
                <w:sz w:val="20"/>
                <w:szCs w:val="20"/>
              </w:rPr>
              <w:t>transkryptu</w:t>
            </w:r>
            <w:proofErr w:type="spellEnd"/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BCR-ABL1).</w:t>
            </w:r>
          </w:p>
          <w:p w14:paraId="0AC0A764" w14:textId="77777777" w:rsidR="008B0BF1" w:rsidRPr="007C7AE6" w:rsidRDefault="008B0BF1" w:rsidP="008B0BF1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</w:p>
          <w:p w14:paraId="1BE26D2A" w14:textId="1BF4A7A1" w:rsidR="008B0BF1" w:rsidRPr="007C7AE6" w:rsidRDefault="008B0BF1">
            <w:pPr>
              <w:pStyle w:val="Akapitzlist"/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sz w:val="20"/>
                <w:szCs w:val="20"/>
              </w:rPr>
            </w:pPr>
            <w:r w:rsidRPr="007C7AE6">
              <w:rPr>
                <w:b/>
                <w:sz w:val="20"/>
                <w:szCs w:val="20"/>
              </w:rPr>
              <w:t>Monitorowanie</w:t>
            </w:r>
            <w:r w:rsidR="00804BA0">
              <w:rPr>
                <w:b/>
                <w:sz w:val="20"/>
                <w:szCs w:val="20"/>
              </w:rPr>
              <w:t xml:space="preserve"> </w:t>
            </w:r>
            <w:r w:rsidRPr="007C7AE6">
              <w:rPr>
                <w:b/>
                <w:sz w:val="20"/>
                <w:szCs w:val="20"/>
              </w:rPr>
              <w:t>po</w:t>
            </w:r>
            <w:r w:rsidR="00804BA0">
              <w:rPr>
                <w:b/>
                <w:sz w:val="20"/>
                <w:szCs w:val="20"/>
              </w:rPr>
              <w:t xml:space="preserve"> </w:t>
            </w:r>
            <w:r w:rsidRPr="007C7AE6">
              <w:rPr>
                <w:b/>
                <w:sz w:val="20"/>
                <w:szCs w:val="20"/>
              </w:rPr>
              <w:t>wznowieniu</w:t>
            </w:r>
            <w:r w:rsidR="00804BA0">
              <w:rPr>
                <w:b/>
                <w:sz w:val="20"/>
                <w:szCs w:val="20"/>
              </w:rPr>
              <w:t xml:space="preserve"> </w:t>
            </w:r>
            <w:r w:rsidRPr="007C7AE6">
              <w:rPr>
                <w:b/>
                <w:sz w:val="20"/>
                <w:szCs w:val="20"/>
              </w:rPr>
              <w:t>leczenia</w:t>
            </w:r>
            <w:r w:rsidR="00804BA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7C7AE6">
              <w:rPr>
                <w:b/>
                <w:i/>
                <w:iCs/>
                <w:sz w:val="20"/>
                <w:szCs w:val="20"/>
              </w:rPr>
              <w:t>nilotynibem</w:t>
            </w:r>
            <w:proofErr w:type="spellEnd"/>
            <w:r w:rsidR="00804BA0">
              <w:rPr>
                <w:b/>
                <w:sz w:val="20"/>
                <w:szCs w:val="20"/>
              </w:rPr>
              <w:t xml:space="preserve"> </w:t>
            </w:r>
            <w:r w:rsidRPr="007C7AE6">
              <w:rPr>
                <w:b/>
                <w:sz w:val="20"/>
                <w:szCs w:val="20"/>
              </w:rPr>
              <w:t>u</w:t>
            </w:r>
            <w:r w:rsidR="00804BA0">
              <w:rPr>
                <w:b/>
                <w:sz w:val="20"/>
                <w:szCs w:val="20"/>
              </w:rPr>
              <w:t xml:space="preserve"> </w:t>
            </w:r>
            <w:r w:rsidRPr="007C7AE6">
              <w:rPr>
                <w:b/>
                <w:sz w:val="20"/>
                <w:szCs w:val="20"/>
              </w:rPr>
              <w:t>pacjentów,</w:t>
            </w:r>
            <w:r w:rsidR="00804BA0">
              <w:rPr>
                <w:b/>
                <w:sz w:val="20"/>
                <w:szCs w:val="20"/>
              </w:rPr>
              <w:t xml:space="preserve"> </w:t>
            </w:r>
            <w:r w:rsidRPr="007C7AE6">
              <w:rPr>
                <w:b/>
                <w:sz w:val="20"/>
                <w:szCs w:val="20"/>
              </w:rPr>
              <w:t>którzy</w:t>
            </w:r>
            <w:r w:rsidR="00804BA0">
              <w:rPr>
                <w:b/>
                <w:sz w:val="20"/>
                <w:szCs w:val="20"/>
              </w:rPr>
              <w:t xml:space="preserve"> </w:t>
            </w:r>
            <w:r w:rsidRPr="007C7AE6">
              <w:rPr>
                <w:b/>
                <w:sz w:val="20"/>
                <w:szCs w:val="20"/>
              </w:rPr>
              <w:t>utracili</w:t>
            </w:r>
            <w:r w:rsidR="00804BA0">
              <w:rPr>
                <w:b/>
                <w:sz w:val="20"/>
                <w:szCs w:val="20"/>
              </w:rPr>
              <w:t xml:space="preserve"> </w:t>
            </w:r>
            <w:r w:rsidRPr="007C7AE6">
              <w:rPr>
                <w:b/>
                <w:sz w:val="20"/>
                <w:szCs w:val="20"/>
              </w:rPr>
              <w:t>większą</w:t>
            </w:r>
            <w:r w:rsidR="00804BA0">
              <w:rPr>
                <w:b/>
                <w:sz w:val="20"/>
                <w:szCs w:val="20"/>
              </w:rPr>
              <w:t xml:space="preserve"> </w:t>
            </w:r>
            <w:r w:rsidRPr="007C7AE6">
              <w:rPr>
                <w:b/>
                <w:sz w:val="20"/>
                <w:szCs w:val="20"/>
              </w:rPr>
              <w:t>odpowiedź</w:t>
            </w:r>
            <w:r w:rsidR="00804BA0">
              <w:rPr>
                <w:b/>
                <w:sz w:val="20"/>
                <w:szCs w:val="20"/>
              </w:rPr>
              <w:t xml:space="preserve"> </w:t>
            </w:r>
            <w:r w:rsidRPr="007C7AE6">
              <w:rPr>
                <w:b/>
                <w:sz w:val="20"/>
                <w:szCs w:val="20"/>
              </w:rPr>
              <w:t>molekularną</w:t>
            </w:r>
            <w:r w:rsidR="00804BA0">
              <w:rPr>
                <w:b/>
                <w:sz w:val="20"/>
                <w:szCs w:val="20"/>
              </w:rPr>
              <w:t xml:space="preserve"> </w:t>
            </w:r>
            <w:r w:rsidRPr="007C7AE6">
              <w:rPr>
                <w:b/>
                <w:sz w:val="20"/>
                <w:szCs w:val="20"/>
              </w:rPr>
              <w:t>(MMR)</w:t>
            </w:r>
            <w:r w:rsidR="00804BA0">
              <w:rPr>
                <w:b/>
                <w:sz w:val="20"/>
                <w:szCs w:val="20"/>
              </w:rPr>
              <w:t xml:space="preserve"> </w:t>
            </w:r>
            <w:r w:rsidRPr="007C7AE6">
              <w:rPr>
                <w:b/>
                <w:sz w:val="20"/>
                <w:szCs w:val="20"/>
              </w:rPr>
              <w:t>w</w:t>
            </w:r>
            <w:r w:rsidR="00804BA0">
              <w:rPr>
                <w:b/>
                <w:sz w:val="20"/>
                <w:szCs w:val="20"/>
              </w:rPr>
              <w:t xml:space="preserve"> </w:t>
            </w:r>
            <w:r w:rsidRPr="007C7AE6">
              <w:rPr>
                <w:b/>
                <w:sz w:val="20"/>
                <w:szCs w:val="20"/>
              </w:rPr>
              <w:t>trakcie</w:t>
            </w:r>
            <w:r w:rsidR="00804BA0">
              <w:rPr>
                <w:b/>
                <w:sz w:val="20"/>
                <w:szCs w:val="20"/>
              </w:rPr>
              <w:t xml:space="preserve"> </w:t>
            </w:r>
            <w:r w:rsidRPr="007C7AE6">
              <w:rPr>
                <w:b/>
                <w:sz w:val="20"/>
                <w:szCs w:val="20"/>
              </w:rPr>
              <w:t>fazy</w:t>
            </w:r>
            <w:r w:rsidR="00804BA0">
              <w:rPr>
                <w:b/>
                <w:sz w:val="20"/>
                <w:szCs w:val="20"/>
              </w:rPr>
              <w:t xml:space="preserve"> </w:t>
            </w:r>
            <w:r w:rsidRPr="007C7AE6">
              <w:rPr>
                <w:b/>
                <w:sz w:val="20"/>
                <w:szCs w:val="20"/>
              </w:rPr>
              <w:t>odstawienia</w:t>
            </w:r>
            <w:r w:rsidR="00804BA0">
              <w:rPr>
                <w:b/>
                <w:sz w:val="20"/>
                <w:szCs w:val="20"/>
              </w:rPr>
              <w:t xml:space="preserve"> </w:t>
            </w:r>
            <w:r w:rsidRPr="007C7AE6">
              <w:rPr>
                <w:b/>
                <w:sz w:val="20"/>
                <w:szCs w:val="20"/>
              </w:rPr>
              <w:t>leczenia</w:t>
            </w:r>
            <w:r w:rsidR="00804BA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7C7AE6">
              <w:rPr>
                <w:b/>
                <w:i/>
                <w:iCs/>
                <w:sz w:val="20"/>
                <w:szCs w:val="20"/>
              </w:rPr>
              <w:t>nilotynibem</w:t>
            </w:r>
            <w:proofErr w:type="spellEnd"/>
          </w:p>
          <w:p w14:paraId="5882A2D2" w14:textId="4798AD74" w:rsidR="008B0BF1" w:rsidRPr="007C7AE6" w:rsidRDefault="008B0BF1" w:rsidP="008B0BF1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7C7AE6">
              <w:rPr>
                <w:sz w:val="20"/>
                <w:szCs w:val="20"/>
              </w:rPr>
              <w:t>Badania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wykonywane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co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4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tygodnie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do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czasu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odzyskania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MMR,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a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następnie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nie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rzadziej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niż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co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3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miesiące:</w:t>
            </w:r>
          </w:p>
          <w:p w14:paraId="26AD45D5" w14:textId="1B4BB079" w:rsidR="008B0BF1" w:rsidRPr="007C7AE6" w:rsidRDefault="008B0BF1">
            <w:pPr>
              <w:pStyle w:val="Akapitzlist"/>
              <w:numPr>
                <w:ilvl w:val="3"/>
                <w:numId w:val="6"/>
              </w:numPr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7C7AE6">
              <w:rPr>
                <w:color w:val="000000"/>
                <w:sz w:val="20"/>
                <w:szCs w:val="20"/>
              </w:rPr>
              <w:t>morfologia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krwi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z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rozmazem;</w:t>
            </w:r>
          </w:p>
          <w:p w14:paraId="605CB34D" w14:textId="3177499F" w:rsidR="008B0BF1" w:rsidRPr="007C7AE6" w:rsidRDefault="008B0BF1">
            <w:pPr>
              <w:pStyle w:val="Akapitzlist"/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7C7AE6">
              <w:rPr>
                <w:color w:val="000000"/>
                <w:sz w:val="20"/>
                <w:szCs w:val="20"/>
              </w:rPr>
              <w:t>ilościowe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badanie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molekularne*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(liczba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kopii</w:t>
            </w:r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7AE6">
              <w:rPr>
                <w:color w:val="000000"/>
                <w:sz w:val="20"/>
                <w:szCs w:val="20"/>
              </w:rPr>
              <w:t>transkryptu</w:t>
            </w:r>
            <w:proofErr w:type="spellEnd"/>
            <w:r w:rsidR="00804BA0">
              <w:rPr>
                <w:color w:val="000000"/>
                <w:sz w:val="20"/>
                <w:szCs w:val="20"/>
              </w:rPr>
              <w:t xml:space="preserve"> </w:t>
            </w:r>
            <w:r w:rsidRPr="007C7AE6">
              <w:rPr>
                <w:color w:val="000000"/>
                <w:sz w:val="20"/>
                <w:szCs w:val="20"/>
              </w:rPr>
              <w:t>BCR-ABL1).</w:t>
            </w:r>
          </w:p>
          <w:p w14:paraId="5F577048" w14:textId="77777777" w:rsidR="008B0BF1" w:rsidRPr="007C7AE6" w:rsidRDefault="008B0BF1" w:rsidP="008B0BF1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sz w:val="20"/>
                <w:szCs w:val="20"/>
              </w:rPr>
            </w:pPr>
          </w:p>
          <w:p w14:paraId="387B55CB" w14:textId="438A7F78" w:rsidR="008B0BF1" w:rsidRPr="007C7AE6" w:rsidRDefault="008B0BF1">
            <w:pPr>
              <w:pStyle w:val="Akapitzlist"/>
              <w:numPr>
                <w:ilvl w:val="0"/>
                <w:numId w:val="6"/>
              </w:numPr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7C7AE6">
              <w:rPr>
                <w:b/>
                <w:sz w:val="20"/>
                <w:szCs w:val="20"/>
              </w:rPr>
              <w:lastRenderedPageBreak/>
              <w:t>Monitorowanie</w:t>
            </w:r>
            <w:r w:rsidR="00804BA0">
              <w:rPr>
                <w:b/>
                <w:sz w:val="20"/>
                <w:szCs w:val="20"/>
              </w:rPr>
              <w:t xml:space="preserve"> </w:t>
            </w:r>
            <w:r w:rsidRPr="007C7AE6">
              <w:rPr>
                <w:b/>
                <w:sz w:val="20"/>
                <w:szCs w:val="20"/>
              </w:rPr>
              <w:t>programu</w:t>
            </w:r>
          </w:p>
          <w:p w14:paraId="6E972C34" w14:textId="1AD1C79F" w:rsidR="008B0BF1" w:rsidRPr="007C7AE6" w:rsidRDefault="008B0BF1">
            <w:pPr>
              <w:pStyle w:val="Akapitzlist"/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C7AE6">
              <w:rPr>
                <w:sz w:val="20"/>
                <w:szCs w:val="20"/>
              </w:rPr>
              <w:t>gromadzenie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w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dokumentacji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medycznej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pacjenta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danych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dotyczących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monitorowania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leczenia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i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każdorazowe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ich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przedstawianie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na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żądanie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kontrolerów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Narodowego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Funduszu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Zdrowia;</w:t>
            </w:r>
          </w:p>
          <w:p w14:paraId="3887B077" w14:textId="67CF6022" w:rsidR="008B0BF1" w:rsidRPr="007C7AE6" w:rsidRDefault="008B0BF1">
            <w:pPr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7C7AE6">
              <w:rPr>
                <w:sz w:val="20"/>
                <w:szCs w:val="20"/>
              </w:rPr>
              <w:t>uzupełnianie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danych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zawartych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w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elektronicznym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systemie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monitorowania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programów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lekowych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dostępnym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za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pomocą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aplikacji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internetowej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udostępnionej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przez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OW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NFZ,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z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częstotliwością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zgodną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z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opisem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programu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oraz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na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zakończenie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leczenia,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w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tym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przekazywanie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danych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dotyczących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wybranych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wskaźników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skuteczności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terapii,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dla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których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jest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możliwe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ich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określenie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przez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lekarza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prowadzącego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dla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indywidualnego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pacjenta,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spośród:</w:t>
            </w:r>
          </w:p>
          <w:p w14:paraId="48899C86" w14:textId="3C95C93A" w:rsidR="008B0BF1" w:rsidRPr="007C7AE6" w:rsidRDefault="008B0BF1">
            <w:pPr>
              <w:pStyle w:val="Akapitzlist"/>
              <w:numPr>
                <w:ilvl w:val="4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C7AE6">
              <w:rPr>
                <w:sz w:val="20"/>
                <w:szCs w:val="20"/>
              </w:rPr>
              <w:t>odpowiedź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całkowita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hematologiczna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(CHR),</w:t>
            </w:r>
          </w:p>
          <w:p w14:paraId="62468B9B" w14:textId="438CE329" w:rsidR="008B0BF1" w:rsidRPr="007C7AE6" w:rsidRDefault="008B0BF1">
            <w:pPr>
              <w:pStyle w:val="Akapitzlist"/>
              <w:numPr>
                <w:ilvl w:val="4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C7AE6">
              <w:rPr>
                <w:sz w:val="20"/>
                <w:szCs w:val="20"/>
              </w:rPr>
              <w:t>odpowiedź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cytogenetyczna:</w:t>
            </w:r>
          </w:p>
          <w:p w14:paraId="4766ABB9" w14:textId="2C578636" w:rsidR="008B0BF1" w:rsidRPr="007C7AE6" w:rsidRDefault="008B0BF1">
            <w:pPr>
              <w:pStyle w:val="Akapitzlist"/>
              <w:numPr>
                <w:ilvl w:val="5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C7AE6">
              <w:rPr>
                <w:sz w:val="20"/>
                <w:szCs w:val="20"/>
              </w:rPr>
              <w:t>całkowita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(</w:t>
            </w:r>
            <w:proofErr w:type="spellStart"/>
            <w:r w:rsidRPr="007C7AE6">
              <w:rPr>
                <w:sz w:val="20"/>
                <w:szCs w:val="20"/>
              </w:rPr>
              <w:t>CCyR</w:t>
            </w:r>
            <w:proofErr w:type="spellEnd"/>
            <w:r w:rsidRPr="007C7AE6">
              <w:rPr>
                <w:sz w:val="20"/>
                <w:szCs w:val="20"/>
              </w:rPr>
              <w:t>),</w:t>
            </w:r>
          </w:p>
          <w:p w14:paraId="48D6C00F" w14:textId="762BDCEA" w:rsidR="008B0BF1" w:rsidRPr="007C7AE6" w:rsidRDefault="008B0BF1">
            <w:pPr>
              <w:pStyle w:val="Akapitzlist"/>
              <w:numPr>
                <w:ilvl w:val="5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C7AE6">
              <w:rPr>
                <w:sz w:val="20"/>
                <w:szCs w:val="20"/>
              </w:rPr>
              <w:t>częściowa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(</w:t>
            </w:r>
            <w:proofErr w:type="spellStart"/>
            <w:r w:rsidRPr="007C7AE6">
              <w:rPr>
                <w:sz w:val="20"/>
                <w:szCs w:val="20"/>
              </w:rPr>
              <w:t>PCyR</w:t>
            </w:r>
            <w:proofErr w:type="spellEnd"/>
            <w:r w:rsidRPr="007C7AE6">
              <w:rPr>
                <w:sz w:val="20"/>
                <w:szCs w:val="20"/>
              </w:rPr>
              <w:t>),</w:t>
            </w:r>
          </w:p>
          <w:p w14:paraId="7192CFD8" w14:textId="6A9F615D" w:rsidR="008B0BF1" w:rsidRPr="007C7AE6" w:rsidRDefault="008B0BF1">
            <w:pPr>
              <w:pStyle w:val="Akapitzlist"/>
              <w:numPr>
                <w:ilvl w:val="5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C7AE6">
              <w:rPr>
                <w:sz w:val="20"/>
                <w:szCs w:val="20"/>
              </w:rPr>
              <w:t>mniejsza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(</w:t>
            </w:r>
            <w:proofErr w:type="spellStart"/>
            <w:r w:rsidRPr="007C7AE6">
              <w:rPr>
                <w:sz w:val="20"/>
                <w:szCs w:val="20"/>
              </w:rPr>
              <w:t>mCyR</w:t>
            </w:r>
            <w:proofErr w:type="spellEnd"/>
            <w:r w:rsidRPr="007C7AE6">
              <w:rPr>
                <w:sz w:val="20"/>
                <w:szCs w:val="20"/>
              </w:rPr>
              <w:t>),</w:t>
            </w:r>
          </w:p>
          <w:p w14:paraId="283C8DDA" w14:textId="32167007" w:rsidR="008B0BF1" w:rsidRPr="007C7AE6" w:rsidRDefault="008B0BF1">
            <w:pPr>
              <w:pStyle w:val="Akapitzlist"/>
              <w:numPr>
                <w:ilvl w:val="5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C7AE6">
              <w:rPr>
                <w:sz w:val="20"/>
                <w:szCs w:val="20"/>
              </w:rPr>
              <w:t>minimalna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(</w:t>
            </w:r>
            <w:proofErr w:type="spellStart"/>
            <w:r w:rsidRPr="007C7AE6">
              <w:rPr>
                <w:sz w:val="20"/>
                <w:szCs w:val="20"/>
              </w:rPr>
              <w:t>minCyR</w:t>
            </w:r>
            <w:proofErr w:type="spellEnd"/>
            <w:r w:rsidRPr="007C7AE6">
              <w:rPr>
                <w:sz w:val="20"/>
                <w:szCs w:val="20"/>
              </w:rPr>
              <w:t>),</w:t>
            </w:r>
          </w:p>
          <w:p w14:paraId="361AABC1" w14:textId="75AD522F" w:rsidR="008B0BF1" w:rsidRPr="007C7AE6" w:rsidRDefault="008B0BF1">
            <w:pPr>
              <w:pStyle w:val="Akapitzlist"/>
              <w:numPr>
                <w:ilvl w:val="5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C7AE6">
              <w:rPr>
                <w:sz w:val="20"/>
                <w:szCs w:val="20"/>
              </w:rPr>
              <w:t>brak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odpowiedzi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(</w:t>
            </w:r>
            <w:proofErr w:type="spellStart"/>
            <w:r w:rsidRPr="007C7AE6">
              <w:rPr>
                <w:sz w:val="20"/>
                <w:szCs w:val="20"/>
              </w:rPr>
              <w:t>nCyR</w:t>
            </w:r>
            <w:proofErr w:type="spellEnd"/>
            <w:r w:rsidRPr="007C7AE6">
              <w:rPr>
                <w:sz w:val="20"/>
                <w:szCs w:val="20"/>
              </w:rPr>
              <w:t>),</w:t>
            </w:r>
          </w:p>
          <w:p w14:paraId="383BD07F" w14:textId="73E2F3A3" w:rsidR="008B0BF1" w:rsidRPr="007C7AE6" w:rsidRDefault="008B0BF1">
            <w:pPr>
              <w:pStyle w:val="Akapitzlist"/>
              <w:numPr>
                <w:ilvl w:val="4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C7AE6">
              <w:rPr>
                <w:sz w:val="20"/>
                <w:szCs w:val="20"/>
              </w:rPr>
              <w:t>odpowiedź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molekularna:</w:t>
            </w:r>
          </w:p>
          <w:p w14:paraId="69BA799E" w14:textId="2E00111B" w:rsidR="008B0BF1" w:rsidRPr="007C7AE6" w:rsidRDefault="008B0BF1">
            <w:pPr>
              <w:pStyle w:val="Akapitzlist"/>
              <w:numPr>
                <w:ilvl w:val="5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C7AE6">
              <w:rPr>
                <w:sz w:val="20"/>
                <w:szCs w:val="20"/>
              </w:rPr>
              <w:t>większa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(MMR,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MR</w:t>
            </w:r>
            <w:r w:rsidRPr="007C7AE6">
              <w:rPr>
                <w:sz w:val="20"/>
                <w:szCs w:val="20"/>
                <w:vertAlign w:val="superscript"/>
              </w:rPr>
              <w:t>3</w:t>
            </w:r>
            <w:r w:rsidRPr="007C7AE6">
              <w:rPr>
                <w:sz w:val="20"/>
                <w:szCs w:val="20"/>
              </w:rPr>
              <w:t>),</w:t>
            </w:r>
          </w:p>
          <w:p w14:paraId="31D8884D" w14:textId="18560ED5" w:rsidR="008B0BF1" w:rsidRPr="007C7AE6" w:rsidRDefault="008B0BF1">
            <w:pPr>
              <w:pStyle w:val="Akapitzlist"/>
              <w:numPr>
                <w:ilvl w:val="5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C7AE6">
              <w:rPr>
                <w:sz w:val="20"/>
                <w:szCs w:val="20"/>
              </w:rPr>
              <w:t>głęboka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(MR</w:t>
            </w:r>
            <w:r w:rsidRPr="007C7AE6">
              <w:rPr>
                <w:sz w:val="20"/>
                <w:szCs w:val="20"/>
                <w:vertAlign w:val="superscript"/>
              </w:rPr>
              <w:t>4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lub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MR</w:t>
            </w:r>
            <w:r w:rsidRPr="007C7AE6">
              <w:rPr>
                <w:sz w:val="20"/>
                <w:szCs w:val="20"/>
                <w:vertAlign w:val="superscript"/>
              </w:rPr>
              <w:t>4,5</w:t>
            </w:r>
            <w:r w:rsidR="00804BA0">
              <w:rPr>
                <w:sz w:val="20"/>
                <w:szCs w:val="20"/>
                <w:vertAlign w:val="superscript"/>
              </w:rPr>
              <w:t xml:space="preserve"> </w:t>
            </w:r>
            <w:r w:rsidRPr="007C7AE6">
              <w:rPr>
                <w:sz w:val="20"/>
                <w:szCs w:val="20"/>
              </w:rPr>
              <w:t>lub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MR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  <w:vertAlign w:val="superscript"/>
              </w:rPr>
              <w:t>5</w:t>
            </w:r>
            <w:r w:rsidRPr="007C7AE6">
              <w:rPr>
                <w:sz w:val="20"/>
                <w:szCs w:val="20"/>
              </w:rPr>
              <w:t>),</w:t>
            </w:r>
          </w:p>
          <w:p w14:paraId="5AF1CD02" w14:textId="46CF0539" w:rsidR="008B0BF1" w:rsidRPr="007C7AE6" w:rsidRDefault="008B0BF1">
            <w:pPr>
              <w:pStyle w:val="Akapitzlist"/>
              <w:numPr>
                <w:ilvl w:val="4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C7AE6">
              <w:rPr>
                <w:sz w:val="20"/>
                <w:szCs w:val="20"/>
              </w:rPr>
              <w:t>progresja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choroby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(PD),</w:t>
            </w:r>
          </w:p>
          <w:p w14:paraId="0952BA2B" w14:textId="1F7F544C" w:rsidR="008B0BF1" w:rsidRPr="007C7AE6" w:rsidRDefault="008B0BF1">
            <w:pPr>
              <w:pStyle w:val="Akapitzlist"/>
              <w:numPr>
                <w:ilvl w:val="4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C7AE6">
              <w:rPr>
                <w:sz w:val="20"/>
                <w:szCs w:val="20"/>
              </w:rPr>
              <w:t>przeżycie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bez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progresji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choroby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(PFS),</w:t>
            </w:r>
          </w:p>
          <w:p w14:paraId="45BCC170" w14:textId="176E614D" w:rsidR="008B0BF1" w:rsidRPr="007C7AE6" w:rsidRDefault="008B0BF1">
            <w:pPr>
              <w:pStyle w:val="Akapitzlist"/>
              <w:numPr>
                <w:ilvl w:val="4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C7AE6">
              <w:rPr>
                <w:sz w:val="20"/>
                <w:szCs w:val="20"/>
              </w:rPr>
              <w:t>przeżycie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całkowite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(OS);</w:t>
            </w:r>
          </w:p>
          <w:p w14:paraId="7555B9E7" w14:textId="12952B93" w:rsidR="008B0BF1" w:rsidRPr="007C7AE6" w:rsidRDefault="008B0BF1">
            <w:pPr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7C7AE6">
              <w:rPr>
                <w:sz w:val="20"/>
                <w:szCs w:val="20"/>
              </w:rPr>
              <w:t>przekazywanie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informacji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sprawozdawczo-rozliczeniowych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do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NFZ: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informacje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przekazuje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się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do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NFZ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w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formie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papierowej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lastRenderedPageBreak/>
              <w:t>lub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w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formie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elektronicznej,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zgodnie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z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wymaganiami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opublikowanymi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przez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NFZ.</w:t>
            </w:r>
          </w:p>
          <w:p w14:paraId="74C9D969" w14:textId="77777777" w:rsidR="008B0BF1" w:rsidRPr="007C7AE6" w:rsidRDefault="008B0BF1" w:rsidP="008B0BF1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54F37CD1" w14:textId="4EB495EE" w:rsidR="0072633C" w:rsidRPr="007C7AE6" w:rsidRDefault="008B0BF1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7C7AE6">
              <w:rPr>
                <w:sz w:val="20"/>
                <w:szCs w:val="20"/>
              </w:rPr>
              <w:t>*badania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wykonywane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wyłącznie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w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laboratoriach,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które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uzyskały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certyfikat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standaryzacji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oznaczania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genu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BCR/ABL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wydawany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przez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PALG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(</w:t>
            </w:r>
            <w:proofErr w:type="spellStart"/>
            <w:r w:rsidRPr="007C7AE6">
              <w:rPr>
                <w:sz w:val="20"/>
                <w:szCs w:val="20"/>
              </w:rPr>
              <w:t>Polish</w:t>
            </w:r>
            <w:proofErr w:type="spellEnd"/>
            <w:r w:rsidR="00804BA0">
              <w:rPr>
                <w:sz w:val="20"/>
                <w:szCs w:val="20"/>
              </w:rPr>
              <w:t xml:space="preserve"> </w:t>
            </w:r>
            <w:proofErr w:type="spellStart"/>
            <w:r w:rsidRPr="007C7AE6">
              <w:rPr>
                <w:sz w:val="20"/>
                <w:szCs w:val="20"/>
              </w:rPr>
              <w:t>Adult</w:t>
            </w:r>
            <w:proofErr w:type="spellEnd"/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Leukemia</w:t>
            </w:r>
            <w:r w:rsidR="00804BA0">
              <w:rPr>
                <w:sz w:val="20"/>
                <w:szCs w:val="20"/>
              </w:rPr>
              <w:t xml:space="preserve"> </w:t>
            </w:r>
            <w:proofErr w:type="spellStart"/>
            <w:r w:rsidRPr="007C7AE6">
              <w:rPr>
                <w:sz w:val="20"/>
                <w:szCs w:val="20"/>
              </w:rPr>
              <w:t>Group</w:t>
            </w:r>
            <w:proofErr w:type="spellEnd"/>
            <w:r w:rsidRPr="007C7AE6">
              <w:rPr>
                <w:sz w:val="20"/>
                <w:szCs w:val="20"/>
              </w:rPr>
              <w:t>)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lub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Polskie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Towarzystwo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Genetyki</w:t>
            </w:r>
            <w:r w:rsidR="00804BA0">
              <w:rPr>
                <w:sz w:val="20"/>
                <w:szCs w:val="20"/>
              </w:rPr>
              <w:t xml:space="preserve"> </w:t>
            </w:r>
            <w:r w:rsidRPr="007C7AE6">
              <w:rPr>
                <w:sz w:val="20"/>
                <w:szCs w:val="20"/>
              </w:rPr>
              <w:t>Człowieka.</w:t>
            </w:r>
          </w:p>
        </w:tc>
      </w:tr>
      <w:bookmarkEnd w:id="0"/>
    </w:tbl>
    <w:p w14:paraId="03B1BBF9" w14:textId="77777777" w:rsidR="00743C43" w:rsidRDefault="00743C43">
      <w:pPr>
        <w:spacing w:line="276" w:lineRule="auto"/>
        <w:rPr>
          <w:color w:val="000000" w:themeColor="text1"/>
          <w:sz w:val="2"/>
          <w:szCs w:val="2"/>
        </w:rPr>
      </w:pPr>
    </w:p>
    <w:p w14:paraId="3682EA7B" w14:textId="77777777" w:rsidR="00274A7C" w:rsidRDefault="00274A7C">
      <w:pPr>
        <w:spacing w:line="276" w:lineRule="auto"/>
        <w:rPr>
          <w:color w:val="000000" w:themeColor="text1"/>
          <w:sz w:val="2"/>
          <w:szCs w:val="2"/>
        </w:rPr>
      </w:pPr>
    </w:p>
    <w:p w14:paraId="23AE48DF" w14:textId="77777777" w:rsidR="00274A7C" w:rsidRDefault="00274A7C">
      <w:pPr>
        <w:spacing w:line="276" w:lineRule="auto"/>
        <w:rPr>
          <w:color w:val="000000" w:themeColor="text1"/>
          <w:sz w:val="2"/>
          <w:szCs w:val="2"/>
        </w:rPr>
      </w:pPr>
    </w:p>
    <w:p w14:paraId="3CBA1F68" w14:textId="77777777" w:rsidR="00274A7C" w:rsidRDefault="00274A7C">
      <w:pPr>
        <w:spacing w:line="276" w:lineRule="auto"/>
        <w:rPr>
          <w:color w:val="000000" w:themeColor="text1"/>
          <w:sz w:val="2"/>
          <w:szCs w:val="2"/>
        </w:rPr>
      </w:pPr>
    </w:p>
    <w:sectPr w:rsidR="00274A7C" w:rsidSect="00F33A7B">
      <w:footerReference w:type="default" r:id="rId12"/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F7109F" w14:textId="77777777" w:rsidR="000B7006" w:rsidRDefault="000B7006" w:rsidP="00EA21BD">
      <w:r>
        <w:separator/>
      </w:r>
    </w:p>
  </w:endnote>
  <w:endnote w:type="continuationSeparator" w:id="0">
    <w:p w14:paraId="63F814C1" w14:textId="77777777" w:rsidR="000B7006" w:rsidRDefault="000B7006" w:rsidP="00EA21BD">
      <w:r>
        <w:continuationSeparator/>
      </w:r>
    </w:p>
  </w:endnote>
  <w:endnote w:type="continuationNotice" w:id="1">
    <w:p w14:paraId="3D69C457" w14:textId="77777777" w:rsidR="000B7006" w:rsidRDefault="000B700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F9FC" w14:textId="2472EA9D" w:rsidR="00007E2B" w:rsidRPr="00F02EF3" w:rsidRDefault="00007E2B" w:rsidP="00C02A9B">
    <w:pPr>
      <w:pStyle w:val="Stopka"/>
      <w:tabs>
        <w:tab w:val="clear" w:pos="4536"/>
        <w:tab w:val="clear" w:pos="9072"/>
        <w:tab w:val="center" w:pos="7699"/>
        <w:tab w:val="right" w:pos="1539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CC4373" w14:textId="77777777" w:rsidR="000B7006" w:rsidRDefault="000B7006" w:rsidP="00EA21BD">
      <w:r>
        <w:separator/>
      </w:r>
    </w:p>
  </w:footnote>
  <w:footnote w:type="continuationSeparator" w:id="0">
    <w:p w14:paraId="5F07640C" w14:textId="77777777" w:rsidR="000B7006" w:rsidRDefault="000B7006" w:rsidP="00EA21BD">
      <w:r>
        <w:continuationSeparator/>
      </w:r>
    </w:p>
  </w:footnote>
  <w:footnote w:type="continuationNotice" w:id="1">
    <w:p w14:paraId="4EA88EC7" w14:textId="77777777" w:rsidR="000B7006" w:rsidRDefault="000B700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91AC7"/>
    <w:multiLevelType w:val="multilevel"/>
    <w:tmpl w:val="BF8017B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0FA02AE5"/>
    <w:multiLevelType w:val="multilevel"/>
    <w:tmpl w:val="8AB49BF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241A44E2"/>
    <w:multiLevelType w:val="multilevel"/>
    <w:tmpl w:val="BF8017B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360C3B49"/>
    <w:multiLevelType w:val="multilevel"/>
    <w:tmpl w:val="BF8017B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4F3729E5"/>
    <w:multiLevelType w:val="multilevel"/>
    <w:tmpl w:val="2802230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5CF43AD2"/>
    <w:multiLevelType w:val="multilevel"/>
    <w:tmpl w:val="5BAEBC24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num w:numId="1" w16cid:durableId="716390712">
    <w:abstractNumId w:val="4"/>
  </w:num>
  <w:num w:numId="2" w16cid:durableId="1918393386">
    <w:abstractNumId w:val="1"/>
  </w:num>
  <w:num w:numId="3" w16cid:durableId="899630385">
    <w:abstractNumId w:val="2"/>
  </w:num>
  <w:num w:numId="4" w16cid:durableId="567806480">
    <w:abstractNumId w:val="0"/>
  </w:num>
  <w:num w:numId="5" w16cid:durableId="723599580">
    <w:abstractNumId w:val="3"/>
  </w:num>
  <w:num w:numId="6" w16cid:durableId="1638335462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3C43"/>
    <w:rsid w:val="00001AF1"/>
    <w:rsid w:val="00003FB6"/>
    <w:rsid w:val="000052C5"/>
    <w:rsid w:val="00006775"/>
    <w:rsid w:val="00006DA5"/>
    <w:rsid w:val="00007E2B"/>
    <w:rsid w:val="00010CB6"/>
    <w:rsid w:val="00014BD4"/>
    <w:rsid w:val="00015C6D"/>
    <w:rsid w:val="00015D29"/>
    <w:rsid w:val="00016CEB"/>
    <w:rsid w:val="00020D5A"/>
    <w:rsid w:val="0002462E"/>
    <w:rsid w:val="00024F01"/>
    <w:rsid w:val="000265D5"/>
    <w:rsid w:val="0003089B"/>
    <w:rsid w:val="00031BD0"/>
    <w:rsid w:val="000324C8"/>
    <w:rsid w:val="000358E9"/>
    <w:rsid w:val="000362C4"/>
    <w:rsid w:val="00036878"/>
    <w:rsid w:val="00037739"/>
    <w:rsid w:val="00037A4D"/>
    <w:rsid w:val="000406E6"/>
    <w:rsid w:val="00042072"/>
    <w:rsid w:val="000421DB"/>
    <w:rsid w:val="00043484"/>
    <w:rsid w:val="00043541"/>
    <w:rsid w:val="00043594"/>
    <w:rsid w:val="000448DB"/>
    <w:rsid w:val="000451C1"/>
    <w:rsid w:val="000461F4"/>
    <w:rsid w:val="00047029"/>
    <w:rsid w:val="0004737A"/>
    <w:rsid w:val="00050638"/>
    <w:rsid w:val="0005193B"/>
    <w:rsid w:val="0005269F"/>
    <w:rsid w:val="00054E27"/>
    <w:rsid w:val="00056780"/>
    <w:rsid w:val="00056CB8"/>
    <w:rsid w:val="000571AF"/>
    <w:rsid w:val="000577EC"/>
    <w:rsid w:val="00061231"/>
    <w:rsid w:val="00062D52"/>
    <w:rsid w:val="000642FA"/>
    <w:rsid w:val="00066200"/>
    <w:rsid w:val="0006696F"/>
    <w:rsid w:val="000707EC"/>
    <w:rsid w:val="00071A37"/>
    <w:rsid w:val="00071F53"/>
    <w:rsid w:val="00072ED4"/>
    <w:rsid w:val="00075175"/>
    <w:rsid w:val="0007699C"/>
    <w:rsid w:val="00076C48"/>
    <w:rsid w:val="00077406"/>
    <w:rsid w:val="00080162"/>
    <w:rsid w:val="00081EA0"/>
    <w:rsid w:val="0008215F"/>
    <w:rsid w:val="00084786"/>
    <w:rsid w:val="000849AC"/>
    <w:rsid w:val="0008730C"/>
    <w:rsid w:val="00090F70"/>
    <w:rsid w:val="000916AE"/>
    <w:rsid w:val="00097B65"/>
    <w:rsid w:val="000A0004"/>
    <w:rsid w:val="000A008C"/>
    <w:rsid w:val="000A04F9"/>
    <w:rsid w:val="000A11CE"/>
    <w:rsid w:val="000A2D58"/>
    <w:rsid w:val="000A3985"/>
    <w:rsid w:val="000A765E"/>
    <w:rsid w:val="000B16FD"/>
    <w:rsid w:val="000B26AA"/>
    <w:rsid w:val="000B3751"/>
    <w:rsid w:val="000B6E43"/>
    <w:rsid w:val="000B7006"/>
    <w:rsid w:val="000C12FD"/>
    <w:rsid w:val="000C16FC"/>
    <w:rsid w:val="000C3F1B"/>
    <w:rsid w:val="000C6A47"/>
    <w:rsid w:val="000D2612"/>
    <w:rsid w:val="000D2CE6"/>
    <w:rsid w:val="000D34D2"/>
    <w:rsid w:val="000D422B"/>
    <w:rsid w:val="000E0606"/>
    <w:rsid w:val="000E0FCC"/>
    <w:rsid w:val="000E25C8"/>
    <w:rsid w:val="000E4CC9"/>
    <w:rsid w:val="000E75AC"/>
    <w:rsid w:val="000E7B7F"/>
    <w:rsid w:val="000F17A4"/>
    <w:rsid w:val="000F17E1"/>
    <w:rsid w:val="000F1B49"/>
    <w:rsid w:val="000F28F4"/>
    <w:rsid w:val="000F3501"/>
    <w:rsid w:val="000F5D97"/>
    <w:rsid w:val="000F7256"/>
    <w:rsid w:val="000F741E"/>
    <w:rsid w:val="00100410"/>
    <w:rsid w:val="00100861"/>
    <w:rsid w:val="00103D2E"/>
    <w:rsid w:val="0010544E"/>
    <w:rsid w:val="00107C99"/>
    <w:rsid w:val="00110AD5"/>
    <w:rsid w:val="001128C6"/>
    <w:rsid w:val="00112A7E"/>
    <w:rsid w:val="001139FB"/>
    <w:rsid w:val="0011451A"/>
    <w:rsid w:val="001147F7"/>
    <w:rsid w:val="0011750A"/>
    <w:rsid w:val="0011757B"/>
    <w:rsid w:val="001176F0"/>
    <w:rsid w:val="00122901"/>
    <w:rsid w:val="00122C86"/>
    <w:rsid w:val="00125DA5"/>
    <w:rsid w:val="001274E2"/>
    <w:rsid w:val="00134BE9"/>
    <w:rsid w:val="00136191"/>
    <w:rsid w:val="00137CC4"/>
    <w:rsid w:val="0014035D"/>
    <w:rsid w:val="001412CF"/>
    <w:rsid w:val="001414FD"/>
    <w:rsid w:val="00144C47"/>
    <w:rsid w:val="00145EC5"/>
    <w:rsid w:val="00147848"/>
    <w:rsid w:val="00150CF7"/>
    <w:rsid w:val="00152B52"/>
    <w:rsid w:val="00154275"/>
    <w:rsid w:val="00156047"/>
    <w:rsid w:val="00157AFB"/>
    <w:rsid w:val="001603AC"/>
    <w:rsid w:val="00162E44"/>
    <w:rsid w:val="0016524B"/>
    <w:rsid w:val="001653F2"/>
    <w:rsid w:val="00165F32"/>
    <w:rsid w:val="00166DAF"/>
    <w:rsid w:val="0017102E"/>
    <w:rsid w:val="00174934"/>
    <w:rsid w:val="0017758F"/>
    <w:rsid w:val="0018706A"/>
    <w:rsid w:val="0019021B"/>
    <w:rsid w:val="001932B9"/>
    <w:rsid w:val="00194C0C"/>
    <w:rsid w:val="00196C83"/>
    <w:rsid w:val="00196C8F"/>
    <w:rsid w:val="001A03CD"/>
    <w:rsid w:val="001A0EDB"/>
    <w:rsid w:val="001A16A4"/>
    <w:rsid w:val="001A23DB"/>
    <w:rsid w:val="001A2845"/>
    <w:rsid w:val="001A2B07"/>
    <w:rsid w:val="001A4A98"/>
    <w:rsid w:val="001A4AC1"/>
    <w:rsid w:val="001A4BB0"/>
    <w:rsid w:val="001A5DB5"/>
    <w:rsid w:val="001A696D"/>
    <w:rsid w:val="001A7ADC"/>
    <w:rsid w:val="001B0059"/>
    <w:rsid w:val="001B2684"/>
    <w:rsid w:val="001B7C04"/>
    <w:rsid w:val="001C23CB"/>
    <w:rsid w:val="001C2457"/>
    <w:rsid w:val="001C3EC6"/>
    <w:rsid w:val="001C60B6"/>
    <w:rsid w:val="001C77B1"/>
    <w:rsid w:val="001D28E6"/>
    <w:rsid w:val="001D2F51"/>
    <w:rsid w:val="001D35C7"/>
    <w:rsid w:val="001D4367"/>
    <w:rsid w:val="001D7998"/>
    <w:rsid w:val="001D7CB9"/>
    <w:rsid w:val="001E0F91"/>
    <w:rsid w:val="001E35B2"/>
    <w:rsid w:val="001E676A"/>
    <w:rsid w:val="001E7CA4"/>
    <w:rsid w:val="001F1C8E"/>
    <w:rsid w:val="001F356C"/>
    <w:rsid w:val="001F3616"/>
    <w:rsid w:val="001F5960"/>
    <w:rsid w:val="001F6474"/>
    <w:rsid w:val="0020288D"/>
    <w:rsid w:val="002030AC"/>
    <w:rsid w:val="0020596B"/>
    <w:rsid w:val="002108CF"/>
    <w:rsid w:val="00210B0D"/>
    <w:rsid w:val="00211635"/>
    <w:rsid w:val="002120F9"/>
    <w:rsid w:val="00212FB4"/>
    <w:rsid w:val="002137E2"/>
    <w:rsid w:val="0021415A"/>
    <w:rsid w:val="0021688B"/>
    <w:rsid w:val="00217ECB"/>
    <w:rsid w:val="00221D34"/>
    <w:rsid w:val="00222A27"/>
    <w:rsid w:val="00223BEF"/>
    <w:rsid w:val="00224988"/>
    <w:rsid w:val="00224DAF"/>
    <w:rsid w:val="0022738C"/>
    <w:rsid w:val="00230BFA"/>
    <w:rsid w:val="002351A0"/>
    <w:rsid w:val="002361B0"/>
    <w:rsid w:val="0023634D"/>
    <w:rsid w:val="00237D71"/>
    <w:rsid w:val="0024095E"/>
    <w:rsid w:val="00240C92"/>
    <w:rsid w:val="00241236"/>
    <w:rsid w:val="00241A84"/>
    <w:rsid w:val="00243DFB"/>
    <w:rsid w:val="00244C12"/>
    <w:rsid w:val="00244D22"/>
    <w:rsid w:val="00245A80"/>
    <w:rsid w:val="00246D45"/>
    <w:rsid w:val="00250747"/>
    <w:rsid w:val="00252ABE"/>
    <w:rsid w:val="00255404"/>
    <w:rsid w:val="00256AFD"/>
    <w:rsid w:val="00257E1C"/>
    <w:rsid w:val="00260CD4"/>
    <w:rsid w:val="002614DE"/>
    <w:rsid w:val="002617E0"/>
    <w:rsid w:val="0026181D"/>
    <w:rsid w:val="002622F5"/>
    <w:rsid w:val="00266105"/>
    <w:rsid w:val="00267ACF"/>
    <w:rsid w:val="002707AD"/>
    <w:rsid w:val="0027211E"/>
    <w:rsid w:val="00272D59"/>
    <w:rsid w:val="00273EF5"/>
    <w:rsid w:val="00274A7C"/>
    <w:rsid w:val="00275747"/>
    <w:rsid w:val="0027652B"/>
    <w:rsid w:val="00277994"/>
    <w:rsid w:val="002779E8"/>
    <w:rsid w:val="00277FC8"/>
    <w:rsid w:val="00280D25"/>
    <w:rsid w:val="002818D6"/>
    <w:rsid w:val="00281A18"/>
    <w:rsid w:val="00281E6F"/>
    <w:rsid w:val="002821BB"/>
    <w:rsid w:val="002853E3"/>
    <w:rsid w:val="00290779"/>
    <w:rsid w:val="002976D8"/>
    <w:rsid w:val="002A0CD0"/>
    <w:rsid w:val="002A25A9"/>
    <w:rsid w:val="002A4315"/>
    <w:rsid w:val="002A4BAF"/>
    <w:rsid w:val="002A6AB4"/>
    <w:rsid w:val="002B198A"/>
    <w:rsid w:val="002B35D9"/>
    <w:rsid w:val="002B49E8"/>
    <w:rsid w:val="002B55B0"/>
    <w:rsid w:val="002B56AD"/>
    <w:rsid w:val="002B7491"/>
    <w:rsid w:val="002C4AEC"/>
    <w:rsid w:val="002C628C"/>
    <w:rsid w:val="002D07A0"/>
    <w:rsid w:val="002D3C22"/>
    <w:rsid w:val="002D4016"/>
    <w:rsid w:val="002D452F"/>
    <w:rsid w:val="002D5F2F"/>
    <w:rsid w:val="002D6884"/>
    <w:rsid w:val="002E1303"/>
    <w:rsid w:val="002E1BA2"/>
    <w:rsid w:val="002E22B3"/>
    <w:rsid w:val="002E629D"/>
    <w:rsid w:val="002F28BF"/>
    <w:rsid w:val="002F30E6"/>
    <w:rsid w:val="002F724F"/>
    <w:rsid w:val="003033E5"/>
    <w:rsid w:val="003074A3"/>
    <w:rsid w:val="0031138F"/>
    <w:rsid w:val="0031204B"/>
    <w:rsid w:val="00312335"/>
    <w:rsid w:val="00312E32"/>
    <w:rsid w:val="00313FB3"/>
    <w:rsid w:val="0031512E"/>
    <w:rsid w:val="00315F31"/>
    <w:rsid w:val="003179CA"/>
    <w:rsid w:val="00321A53"/>
    <w:rsid w:val="00323201"/>
    <w:rsid w:val="0032398E"/>
    <w:rsid w:val="003240DC"/>
    <w:rsid w:val="00324DE6"/>
    <w:rsid w:val="0032679D"/>
    <w:rsid w:val="00327269"/>
    <w:rsid w:val="00331737"/>
    <w:rsid w:val="003326BC"/>
    <w:rsid w:val="00332C5D"/>
    <w:rsid w:val="00333259"/>
    <w:rsid w:val="00333C7E"/>
    <w:rsid w:val="00335A7E"/>
    <w:rsid w:val="00336157"/>
    <w:rsid w:val="00336DBF"/>
    <w:rsid w:val="00342BDF"/>
    <w:rsid w:val="00343136"/>
    <w:rsid w:val="0034410B"/>
    <w:rsid w:val="0034469A"/>
    <w:rsid w:val="00345A6D"/>
    <w:rsid w:val="00345CF3"/>
    <w:rsid w:val="00346A9C"/>
    <w:rsid w:val="00347798"/>
    <w:rsid w:val="00350C0D"/>
    <w:rsid w:val="0035129D"/>
    <w:rsid w:val="00352DD8"/>
    <w:rsid w:val="00353518"/>
    <w:rsid w:val="00354575"/>
    <w:rsid w:val="00354CC3"/>
    <w:rsid w:val="00354CFF"/>
    <w:rsid w:val="00355036"/>
    <w:rsid w:val="003567F4"/>
    <w:rsid w:val="0035693B"/>
    <w:rsid w:val="00356D6B"/>
    <w:rsid w:val="00361E28"/>
    <w:rsid w:val="003626A8"/>
    <w:rsid w:val="00362C81"/>
    <w:rsid w:val="00363EFE"/>
    <w:rsid w:val="003707C1"/>
    <w:rsid w:val="00370C19"/>
    <w:rsid w:val="00372F8F"/>
    <w:rsid w:val="00374603"/>
    <w:rsid w:val="00377A2F"/>
    <w:rsid w:val="003806AA"/>
    <w:rsid w:val="00380FAD"/>
    <w:rsid w:val="003837AF"/>
    <w:rsid w:val="00384D71"/>
    <w:rsid w:val="00385F78"/>
    <w:rsid w:val="00386341"/>
    <w:rsid w:val="00386E90"/>
    <w:rsid w:val="0038781F"/>
    <w:rsid w:val="003903DA"/>
    <w:rsid w:val="00391666"/>
    <w:rsid w:val="00391917"/>
    <w:rsid w:val="003937A7"/>
    <w:rsid w:val="00394D40"/>
    <w:rsid w:val="00397B45"/>
    <w:rsid w:val="00397CFB"/>
    <w:rsid w:val="00397F27"/>
    <w:rsid w:val="00397F35"/>
    <w:rsid w:val="003A0A12"/>
    <w:rsid w:val="003A1EA8"/>
    <w:rsid w:val="003A235A"/>
    <w:rsid w:val="003A34BF"/>
    <w:rsid w:val="003A4275"/>
    <w:rsid w:val="003A51F8"/>
    <w:rsid w:val="003B1258"/>
    <w:rsid w:val="003B3E12"/>
    <w:rsid w:val="003B6538"/>
    <w:rsid w:val="003B789E"/>
    <w:rsid w:val="003C1CD4"/>
    <w:rsid w:val="003C30C9"/>
    <w:rsid w:val="003C386F"/>
    <w:rsid w:val="003C4692"/>
    <w:rsid w:val="003C6D48"/>
    <w:rsid w:val="003C74BA"/>
    <w:rsid w:val="003C75B9"/>
    <w:rsid w:val="003D0BC1"/>
    <w:rsid w:val="003D4C04"/>
    <w:rsid w:val="003D5510"/>
    <w:rsid w:val="003D5D8F"/>
    <w:rsid w:val="003D5DCC"/>
    <w:rsid w:val="003D7B3F"/>
    <w:rsid w:val="003E06DD"/>
    <w:rsid w:val="003E07BC"/>
    <w:rsid w:val="003E3485"/>
    <w:rsid w:val="003E44D4"/>
    <w:rsid w:val="003E5936"/>
    <w:rsid w:val="003E629A"/>
    <w:rsid w:val="003E7459"/>
    <w:rsid w:val="003F03A9"/>
    <w:rsid w:val="003F13BE"/>
    <w:rsid w:val="003F1688"/>
    <w:rsid w:val="003F2CAE"/>
    <w:rsid w:val="003F4A58"/>
    <w:rsid w:val="003F4D99"/>
    <w:rsid w:val="003F5F5A"/>
    <w:rsid w:val="003F653D"/>
    <w:rsid w:val="003F7B30"/>
    <w:rsid w:val="00403A32"/>
    <w:rsid w:val="00403F80"/>
    <w:rsid w:val="00404AFA"/>
    <w:rsid w:val="00404CED"/>
    <w:rsid w:val="004068D0"/>
    <w:rsid w:val="00406EC4"/>
    <w:rsid w:val="00406F49"/>
    <w:rsid w:val="00407A1C"/>
    <w:rsid w:val="004107C5"/>
    <w:rsid w:val="004129F1"/>
    <w:rsid w:val="00414067"/>
    <w:rsid w:val="00416925"/>
    <w:rsid w:val="00416D93"/>
    <w:rsid w:val="00420922"/>
    <w:rsid w:val="00421194"/>
    <w:rsid w:val="00423B41"/>
    <w:rsid w:val="0042444E"/>
    <w:rsid w:val="0042728F"/>
    <w:rsid w:val="00427839"/>
    <w:rsid w:val="004311BB"/>
    <w:rsid w:val="004318F8"/>
    <w:rsid w:val="00432FD8"/>
    <w:rsid w:val="00433AD9"/>
    <w:rsid w:val="00436441"/>
    <w:rsid w:val="004405D9"/>
    <w:rsid w:val="00442E3B"/>
    <w:rsid w:val="004436F0"/>
    <w:rsid w:val="0044490C"/>
    <w:rsid w:val="004469DD"/>
    <w:rsid w:val="00447186"/>
    <w:rsid w:val="00447B4D"/>
    <w:rsid w:val="00450E04"/>
    <w:rsid w:val="00452650"/>
    <w:rsid w:val="00452C80"/>
    <w:rsid w:val="00457A1B"/>
    <w:rsid w:val="00461660"/>
    <w:rsid w:val="0046216C"/>
    <w:rsid w:val="00463569"/>
    <w:rsid w:val="00465CFC"/>
    <w:rsid w:val="00467232"/>
    <w:rsid w:val="00470C8B"/>
    <w:rsid w:val="00471CC3"/>
    <w:rsid w:val="0047290D"/>
    <w:rsid w:val="00472B65"/>
    <w:rsid w:val="00476945"/>
    <w:rsid w:val="00476948"/>
    <w:rsid w:val="00477E8D"/>
    <w:rsid w:val="00480687"/>
    <w:rsid w:val="00480F1A"/>
    <w:rsid w:val="00481D53"/>
    <w:rsid w:val="00483139"/>
    <w:rsid w:val="00483459"/>
    <w:rsid w:val="00484592"/>
    <w:rsid w:val="00486558"/>
    <w:rsid w:val="0049211A"/>
    <w:rsid w:val="00493293"/>
    <w:rsid w:val="004961D2"/>
    <w:rsid w:val="00497A25"/>
    <w:rsid w:val="004A254E"/>
    <w:rsid w:val="004A3401"/>
    <w:rsid w:val="004A3CA8"/>
    <w:rsid w:val="004A567B"/>
    <w:rsid w:val="004A74F2"/>
    <w:rsid w:val="004B00B4"/>
    <w:rsid w:val="004B1B2A"/>
    <w:rsid w:val="004B38C8"/>
    <w:rsid w:val="004B74E8"/>
    <w:rsid w:val="004C0083"/>
    <w:rsid w:val="004C07B2"/>
    <w:rsid w:val="004C322B"/>
    <w:rsid w:val="004C3A69"/>
    <w:rsid w:val="004C3F12"/>
    <w:rsid w:val="004C4D47"/>
    <w:rsid w:val="004D21DD"/>
    <w:rsid w:val="004D2A79"/>
    <w:rsid w:val="004D5007"/>
    <w:rsid w:val="004D51AB"/>
    <w:rsid w:val="004D5713"/>
    <w:rsid w:val="004E0BC1"/>
    <w:rsid w:val="004E0CC6"/>
    <w:rsid w:val="004E150C"/>
    <w:rsid w:val="004E2C9F"/>
    <w:rsid w:val="004E5AF9"/>
    <w:rsid w:val="004E72B7"/>
    <w:rsid w:val="004F0A6A"/>
    <w:rsid w:val="004F1877"/>
    <w:rsid w:val="004F2187"/>
    <w:rsid w:val="004F2EBC"/>
    <w:rsid w:val="004F4D27"/>
    <w:rsid w:val="004F5D44"/>
    <w:rsid w:val="0050050A"/>
    <w:rsid w:val="00500BDE"/>
    <w:rsid w:val="005027AA"/>
    <w:rsid w:val="00503ED4"/>
    <w:rsid w:val="0050767F"/>
    <w:rsid w:val="0051013B"/>
    <w:rsid w:val="00512E20"/>
    <w:rsid w:val="0051352D"/>
    <w:rsid w:val="00513F30"/>
    <w:rsid w:val="00515665"/>
    <w:rsid w:val="00517719"/>
    <w:rsid w:val="005202A8"/>
    <w:rsid w:val="005227D7"/>
    <w:rsid w:val="00522EC3"/>
    <w:rsid w:val="00523AB7"/>
    <w:rsid w:val="00524BCD"/>
    <w:rsid w:val="00531B21"/>
    <w:rsid w:val="005338B3"/>
    <w:rsid w:val="00534386"/>
    <w:rsid w:val="005344E4"/>
    <w:rsid w:val="005413F9"/>
    <w:rsid w:val="005424C1"/>
    <w:rsid w:val="00542817"/>
    <w:rsid w:val="0054319B"/>
    <w:rsid w:val="0054527D"/>
    <w:rsid w:val="00546344"/>
    <w:rsid w:val="0054669A"/>
    <w:rsid w:val="00547065"/>
    <w:rsid w:val="00550CA7"/>
    <w:rsid w:val="00553C0F"/>
    <w:rsid w:val="00554CAF"/>
    <w:rsid w:val="005557DB"/>
    <w:rsid w:val="00565361"/>
    <w:rsid w:val="005655AE"/>
    <w:rsid w:val="00566FCC"/>
    <w:rsid w:val="00567171"/>
    <w:rsid w:val="0056727A"/>
    <w:rsid w:val="00570605"/>
    <w:rsid w:val="00571CD6"/>
    <w:rsid w:val="00571EFF"/>
    <w:rsid w:val="00572F6E"/>
    <w:rsid w:val="005775A9"/>
    <w:rsid w:val="00577D76"/>
    <w:rsid w:val="00577F6A"/>
    <w:rsid w:val="00577F86"/>
    <w:rsid w:val="005852B9"/>
    <w:rsid w:val="00587386"/>
    <w:rsid w:val="00590B81"/>
    <w:rsid w:val="005919AC"/>
    <w:rsid w:val="00591EA4"/>
    <w:rsid w:val="005925D4"/>
    <w:rsid w:val="00593677"/>
    <w:rsid w:val="005A05CC"/>
    <w:rsid w:val="005A17F8"/>
    <w:rsid w:val="005A385F"/>
    <w:rsid w:val="005A3E8F"/>
    <w:rsid w:val="005A4124"/>
    <w:rsid w:val="005A49EC"/>
    <w:rsid w:val="005B0CFA"/>
    <w:rsid w:val="005B3BD2"/>
    <w:rsid w:val="005B497E"/>
    <w:rsid w:val="005B7E38"/>
    <w:rsid w:val="005C17F9"/>
    <w:rsid w:val="005C22A5"/>
    <w:rsid w:val="005C275B"/>
    <w:rsid w:val="005C2A01"/>
    <w:rsid w:val="005C357B"/>
    <w:rsid w:val="005C4287"/>
    <w:rsid w:val="005C4EE1"/>
    <w:rsid w:val="005D06EB"/>
    <w:rsid w:val="005D4344"/>
    <w:rsid w:val="005D5E58"/>
    <w:rsid w:val="005D6D19"/>
    <w:rsid w:val="005D702F"/>
    <w:rsid w:val="005E095C"/>
    <w:rsid w:val="005E36DB"/>
    <w:rsid w:val="005E44D7"/>
    <w:rsid w:val="005E691B"/>
    <w:rsid w:val="005E795C"/>
    <w:rsid w:val="005F0AC4"/>
    <w:rsid w:val="005F2F62"/>
    <w:rsid w:val="005F3246"/>
    <w:rsid w:val="005F456E"/>
    <w:rsid w:val="005F4B61"/>
    <w:rsid w:val="005F6B9C"/>
    <w:rsid w:val="005F75B7"/>
    <w:rsid w:val="006018DE"/>
    <w:rsid w:val="00601F0B"/>
    <w:rsid w:val="00603DE3"/>
    <w:rsid w:val="006069ED"/>
    <w:rsid w:val="00606D61"/>
    <w:rsid w:val="006110D3"/>
    <w:rsid w:val="0061220A"/>
    <w:rsid w:val="0061452E"/>
    <w:rsid w:val="006152EB"/>
    <w:rsid w:val="006168FE"/>
    <w:rsid w:val="00617EB3"/>
    <w:rsid w:val="006206CE"/>
    <w:rsid w:val="00621004"/>
    <w:rsid w:val="00621254"/>
    <w:rsid w:val="00623725"/>
    <w:rsid w:val="00624A80"/>
    <w:rsid w:val="00626116"/>
    <w:rsid w:val="006262DC"/>
    <w:rsid w:val="00627382"/>
    <w:rsid w:val="00630552"/>
    <w:rsid w:val="0063247B"/>
    <w:rsid w:val="0063308B"/>
    <w:rsid w:val="006362E6"/>
    <w:rsid w:val="006363E3"/>
    <w:rsid w:val="00637547"/>
    <w:rsid w:val="00637E38"/>
    <w:rsid w:val="00640D1A"/>
    <w:rsid w:val="00641C47"/>
    <w:rsid w:val="006450E0"/>
    <w:rsid w:val="00646AFA"/>
    <w:rsid w:val="00650745"/>
    <w:rsid w:val="0065179C"/>
    <w:rsid w:val="00651C94"/>
    <w:rsid w:val="006535FA"/>
    <w:rsid w:val="00655372"/>
    <w:rsid w:val="0065616D"/>
    <w:rsid w:val="00656447"/>
    <w:rsid w:val="006570B2"/>
    <w:rsid w:val="006606D5"/>
    <w:rsid w:val="0066100A"/>
    <w:rsid w:val="0066239D"/>
    <w:rsid w:val="006639A2"/>
    <w:rsid w:val="0066564B"/>
    <w:rsid w:val="00666A1C"/>
    <w:rsid w:val="00667158"/>
    <w:rsid w:val="0066743D"/>
    <w:rsid w:val="00673A2A"/>
    <w:rsid w:val="00674072"/>
    <w:rsid w:val="00674810"/>
    <w:rsid w:val="00675448"/>
    <w:rsid w:val="00677B68"/>
    <w:rsid w:val="00681617"/>
    <w:rsid w:val="00681BA0"/>
    <w:rsid w:val="00681E75"/>
    <w:rsid w:val="00683977"/>
    <w:rsid w:val="006866B8"/>
    <w:rsid w:val="00687AD0"/>
    <w:rsid w:val="00690429"/>
    <w:rsid w:val="00692FD0"/>
    <w:rsid w:val="006973B7"/>
    <w:rsid w:val="006A02A5"/>
    <w:rsid w:val="006A1F7A"/>
    <w:rsid w:val="006A45D7"/>
    <w:rsid w:val="006A58A8"/>
    <w:rsid w:val="006A7462"/>
    <w:rsid w:val="006A769A"/>
    <w:rsid w:val="006A791B"/>
    <w:rsid w:val="006A7F5B"/>
    <w:rsid w:val="006B0001"/>
    <w:rsid w:val="006B10C1"/>
    <w:rsid w:val="006B11AD"/>
    <w:rsid w:val="006B289F"/>
    <w:rsid w:val="006B4F9B"/>
    <w:rsid w:val="006B544C"/>
    <w:rsid w:val="006B59D9"/>
    <w:rsid w:val="006B5EEE"/>
    <w:rsid w:val="006C1CFB"/>
    <w:rsid w:val="006C2C1D"/>
    <w:rsid w:val="006C30BD"/>
    <w:rsid w:val="006C5623"/>
    <w:rsid w:val="006C67CC"/>
    <w:rsid w:val="006C70B6"/>
    <w:rsid w:val="006D168E"/>
    <w:rsid w:val="006D19A6"/>
    <w:rsid w:val="006D2A91"/>
    <w:rsid w:val="006D7FB8"/>
    <w:rsid w:val="006E0AB7"/>
    <w:rsid w:val="006E0C16"/>
    <w:rsid w:val="006E16AF"/>
    <w:rsid w:val="006E497B"/>
    <w:rsid w:val="006E5285"/>
    <w:rsid w:val="006E6A22"/>
    <w:rsid w:val="006E6E10"/>
    <w:rsid w:val="006E7B8C"/>
    <w:rsid w:val="006F03DC"/>
    <w:rsid w:val="006F1C43"/>
    <w:rsid w:val="006F5A56"/>
    <w:rsid w:val="006F67B5"/>
    <w:rsid w:val="006F67B9"/>
    <w:rsid w:val="006F6A93"/>
    <w:rsid w:val="006F7325"/>
    <w:rsid w:val="0070093F"/>
    <w:rsid w:val="007016E3"/>
    <w:rsid w:val="00702288"/>
    <w:rsid w:val="007045A2"/>
    <w:rsid w:val="007049DF"/>
    <w:rsid w:val="00704C7E"/>
    <w:rsid w:val="00704E5D"/>
    <w:rsid w:val="00705529"/>
    <w:rsid w:val="00705B10"/>
    <w:rsid w:val="00706078"/>
    <w:rsid w:val="007103A1"/>
    <w:rsid w:val="0071052E"/>
    <w:rsid w:val="00711AAB"/>
    <w:rsid w:val="007156E9"/>
    <w:rsid w:val="00715C28"/>
    <w:rsid w:val="00721797"/>
    <w:rsid w:val="0072633C"/>
    <w:rsid w:val="00726B6F"/>
    <w:rsid w:val="00726D3E"/>
    <w:rsid w:val="00731F4C"/>
    <w:rsid w:val="00733FB9"/>
    <w:rsid w:val="0073477A"/>
    <w:rsid w:val="007369A7"/>
    <w:rsid w:val="00740079"/>
    <w:rsid w:val="00740A25"/>
    <w:rsid w:val="00740FBC"/>
    <w:rsid w:val="007423D3"/>
    <w:rsid w:val="00742631"/>
    <w:rsid w:val="00742AA4"/>
    <w:rsid w:val="00743266"/>
    <w:rsid w:val="00743C43"/>
    <w:rsid w:val="00747C1C"/>
    <w:rsid w:val="0075072A"/>
    <w:rsid w:val="007510F1"/>
    <w:rsid w:val="0075147D"/>
    <w:rsid w:val="00751540"/>
    <w:rsid w:val="0076102E"/>
    <w:rsid w:val="00761279"/>
    <w:rsid w:val="0076270B"/>
    <w:rsid w:val="00763935"/>
    <w:rsid w:val="00766086"/>
    <w:rsid w:val="00766766"/>
    <w:rsid w:val="007675BB"/>
    <w:rsid w:val="0076777E"/>
    <w:rsid w:val="00767F56"/>
    <w:rsid w:val="00770490"/>
    <w:rsid w:val="00771B27"/>
    <w:rsid w:val="00772116"/>
    <w:rsid w:val="00772AF9"/>
    <w:rsid w:val="00775AEE"/>
    <w:rsid w:val="00775D5C"/>
    <w:rsid w:val="007765FA"/>
    <w:rsid w:val="007778AE"/>
    <w:rsid w:val="00780D30"/>
    <w:rsid w:val="007817D3"/>
    <w:rsid w:val="007823EB"/>
    <w:rsid w:val="00782B46"/>
    <w:rsid w:val="00782B70"/>
    <w:rsid w:val="00783CED"/>
    <w:rsid w:val="00783EE6"/>
    <w:rsid w:val="00785F41"/>
    <w:rsid w:val="0079112B"/>
    <w:rsid w:val="00791620"/>
    <w:rsid w:val="00792086"/>
    <w:rsid w:val="00792910"/>
    <w:rsid w:val="00793BCF"/>
    <w:rsid w:val="0079457C"/>
    <w:rsid w:val="00795BEC"/>
    <w:rsid w:val="00795E51"/>
    <w:rsid w:val="0079670E"/>
    <w:rsid w:val="00797C90"/>
    <w:rsid w:val="007A0A9A"/>
    <w:rsid w:val="007A1F54"/>
    <w:rsid w:val="007A2632"/>
    <w:rsid w:val="007A405A"/>
    <w:rsid w:val="007A55E8"/>
    <w:rsid w:val="007A6849"/>
    <w:rsid w:val="007A7E2F"/>
    <w:rsid w:val="007B254F"/>
    <w:rsid w:val="007B277B"/>
    <w:rsid w:val="007B2DA0"/>
    <w:rsid w:val="007B34F4"/>
    <w:rsid w:val="007B50F3"/>
    <w:rsid w:val="007B64F9"/>
    <w:rsid w:val="007B6A95"/>
    <w:rsid w:val="007C0E2E"/>
    <w:rsid w:val="007C2408"/>
    <w:rsid w:val="007C7AE6"/>
    <w:rsid w:val="007D188D"/>
    <w:rsid w:val="007D19AB"/>
    <w:rsid w:val="007D2C73"/>
    <w:rsid w:val="007D3592"/>
    <w:rsid w:val="007D48BF"/>
    <w:rsid w:val="007D51C0"/>
    <w:rsid w:val="007D5F39"/>
    <w:rsid w:val="007D692C"/>
    <w:rsid w:val="007D747F"/>
    <w:rsid w:val="007D7B3C"/>
    <w:rsid w:val="007E2604"/>
    <w:rsid w:val="007E27CD"/>
    <w:rsid w:val="007E2E5B"/>
    <w:rsid w:val="007E5151"/>
    <w:rsid w:val="007E57D5"/>
    <w:rsid w:val="007E5C75"/>
    <w:rsid w:val="007E68C0"/>
    <w:rsid w:val="007E7A20"/>
    <w:rsid w:val="007F1327"/>
    <w:rsid w:val="007F2CAF"/>
    <w:rsid w:val="007F4744"/>
    <w:rsid w:val="007F67F7"/>
    <w:rsid w:val="007F6FBE"/>
    <w:rsid w:val="007F6FDC"/>
    <w:rsid w:val="007F7B11"/>
    <w:rsid w:val="007F7FD2"/>
    <w:rsid w:val="00800A84"/>
    <w:rsid w:val="0080212D"/>
    <w:rsid w:val="00803244"/>
    <w:rsid w:val="00804BA0"/>
    <w:rsid w:val="00805A39"/>
    <w:rsid w:val="00807D02"/>
    <w:rsid w:val="00813466"/>
    <w:rsid w:val="008135DC"/>
    <w:rsid w:val="00813CAC"/>
    <w:rsid w:val="00820CD2"/>
    <w:rsid w:val="00820CF1"/>
    <w:rsid w:val="0082186D"/>
    <w:rsid w:val="00821AD5"/>
    <w:rsid w:val="00826414"/>
    <w:rsid w:val="008327DC"/>
    <w:rsid w:val="00834AD8"/>
    <w:rsid w:val="00834FD4"/>
    <w:rsid w:val="00835582"/>
    <w:rsid w:val="00835901"/>
    <w:rsid w:val="00835EE2"/>
    <w:rsid w:val="00837703"/>
    <w:rsid w:val="00837F15"/>
    <w:rsid w:val="0084433C"/>
    <w:rsid w:val="00847D0D"/>
    <w:rsid w:val="00850A3C"/>
    <w:rsid w:val="00851130"/>
    <w:rsid w:val="0085400D"/>
    <w:rsid w:val="00855550"/>
    <w:rsid w:val="00855D79"/>
    <w:rsid w:val="00855F23"/>
    <w:rsid w:val="00860F43"/>
    <w:rsid w:val="00861353"/>
    <w:rsid w:val="00865BE6"/>
    <w:rsid w:val="00866C54"/>
    <w:rsid w:val="00866EC2"/>
    <w:rsid w:val="0087026F"/>
    <w:rsid w:val="008709D2"/>
    <w:rsid w:val="00871DF4"/>
    <w:rsid w:val="0087579B"/>
    <w:rsid w:val="008820DE"/>
    <w:rsid w:val="00884D27"/>
    <w:rsid w:val="008857ED"/>
    <w:rsid w:val="0089160B"/>
    <w:rsid w:val="0089227D"/>
    <w:rsid w:val="00892DA0"/>
    <w:rsid w:val="008962EB"/>
    <w:rsid w:val="00897842"/>
    <w:rsid w:val="008A4600"/>
    <w:rsid w:val="008A4FFC"/>
    <w:rsid w:val="008A63EB"/>
    <w:rsid w:val="008A7C8A"/>
    <w:rsid w:val="008B0240"/>
    <w:rsid w:val="008B03DB"/>
    <w:rsid w:val="008B0BF1"/>
    <w:rsid w:val="008B2632"/>
    <w:rsid w:val="008B4894"/>
    <w:rsid w:val="008B4E16"/>
    <w:rsid w:val="008B709D"/>
    <w:rsid w:val="008B7138"/>
    <w:rsid w:val="008B7773"/>
    <w:rsid w:val="008C063A"/>
    <w:rsid w:val="008C1301"/>
    <w:rsid w:val="008C38BC"/>
    <w:rsid w:val="008C5F87"/>
    <w:rsid w:val="008C66F0"/>
    <w:rsid w:val="008C71CB"/>
    <w:rsid w:val="008D1777"/>
    <w:rsid w:val="008D68E8"/>
    <w:rsid w:val="008E0CAB"/>
    <w:rsid w:val="008E2992"/>
    <w:rsid w:val="008E3304"/>
    <w:rsid w:val="008E5BF7"/>
    <w:rsid w:val="008E6E81"/>
    <w:rsid w:val="008F29D3"/>
    <w:rsid w:val="008F2A25"/>
    <w:rsid w:val="008F66A9"/>
    <w:rsid w:val="00900C45"/>
    <w:rsid w:val="00902AE1"/>
    <w:rsid w:val="00902E9F"/>
    <w:rsid w:val="00904576"/>
    <w:rsid w:val="009045F7"/>
    <w:rsid w:val="00906CCF"/>
    <w:rsid w:val="00914853"/>
    <w:rsid w:val="00915C5C"/>
    <w:rsid w:val="00915E25"/>
    <w:rsid w:val="00916155"/>
    <w:rsid w:val="00916964"/>
    <w:rsid w:val="00917A45"/>
    <w:rsid w:val="00923111"/>
    <w:rsid w:val="00923485"/>
    <w:rsid w:val="009247B1"/>
    <w:rsid w:val="00924932"/>
    <w:rsid w:val="00924B92"/>
    <w:rsid w:val="00925CD6"/>
    <w:rsid w:val="0092725B"/>
    <w:rsid w:val="00927291"/>
    <w:rsid w:val="0093093E"/>
    <w:rsid w:val="009310E5"/>
    <w:rsid w:val="009318A1"/>
    <w:rsid w:val="00931AB5"/>
    <w:rsid w:val="00932263"/>
    <w:rsid w:val="00933E01"/>
    <w:rsid w:val="009352D6"/>
    <w:rsid w:val="009375C6"/>
    <w:rsid w:val="00937694"/>
    <w:rsid w:val="009429D3"/>
    <w:rsid w:val="00942C15"/>
    <w:rsid w:val="00943945"/>
    <w:rsid w:val="00944A71"/>
    <w:rsid w:val="009464EB"/>
    <w:rsid w:val="009530A8"/>
    <w:rsid w:val="00954487"/>
    <w:rsid w:val="00955CE8"/>
    <w:rsid w:val="00956638"/>
    <w:rsid w:val="00957B28"/>
    <w:rsid w:val="009608A9"/>
    <w:rsid w:val="009625E7"/>
    <w:rsid w:val="00964ABB"/>
    <w:rsid w:val="00965C08"/>
    <w:rsid w:val="00967067"/>
    <w:rsid w:val="00972FAA"/>
    <w:rsid w:val="0097520D"/>
    <w:rsid w:val="00976291"/>
    <w:rsid w:val="00985465"/>
    <w:rsid w:val="009859A1"/>
    <w:rsid w:val="0098691F"/>
    <w:rsid w:val="009870E3"/>
    <w:rsid w:val="009877EA"/>
    <w:rsid w:val="009916C1"/>
    <w:rsid w:val="00992A4E"/>
    <w:rsid w:val="009941FB"/>
    <w:rsid w:val="0099464B"/>
    <w:rsid w:val="00995044"/>
    <w:rsid w:val="0099581A"/>
    <w:rsid w:val="009966FD"/>
    <w:rsid w:val="00996B4B"/>
    <w:rsid w:val="00996CE7"/>
    <w:rsid w:val="009978CA"/>
    <w:rsid w:val="009A1249"/>
    <w:rsid w:val="009A1530"/>
    <w:rsid w:val="009A23DC"/>
    <w:rsid w:val="009A2B66"/>
    <w:rsid w:val="009A3532"/>
    <w:rsid w:val="009A3BA2"/>
    <w:rsid w:val="009A5213"/>
    <w:rsid w:val="009A5BED"/>
    <w:rsid w:val="009B14E8"/>
    <w:rsid w:val="009B2762"/>
    <w:rsid w:val="009B32ED"/>
    <w:rsid w:val="009B33C7"/>
    <w:rsid w:val="009B40E4"/>
    <w:rsid w:val="009B466E"/>
    <w:rsid w:val="009B47E0"/>
    <w:rsid w:val="009B795B"/>
    <w:rsid w:val="009C41F9"/>
    <w:rsid w:val="009C46D6"/>
    <w:rsid w:val="009C4808"/>
    <w:rsid w:val="009C71F0"/>
    <w:rsid w:val="009D1B96"/>
    <w:rsid w:val="009D203F"/>
    <w:rsid w:val="009D34EA"/>
    <w:rsid w:val="009D423F"/>
    <w:rsid w:val="009D6C23"/>
    <w:rsid w:val="009D6E6B"/>
    <w:rsid w:val="009E02AC"/>
    <w:rsid w:val="009E257F"/>
    <w:rsid w:val="009E2E33"/>
    <w:rsid w:val="009E4030"/>
    <w:rsid w:val="009E40FF"/>
    <w:rsid w:val="009E483D"/>
    <w:rsid w:val="009E6234"/>
    <w:rsid w:val="009F03B8"/>
    <w:rsid w:val="009F351A"/>
    <w:rsid w:val="009F47D2"/>
    <w:rsid w:val="009F6D06"/>
    <w:rsid w:val="00A02493"/>
    <w:rsid w:val="00A02F6D"/>
    <w:rsid w:val="00A02F9D"/>
    <w:rsid w:val="00A0457D"/>
    <w:rsid w:val="00A04ABA"/>
    <w:rsid w:val="00A069EC"/>
    <w:rsid w:val="00A06DFB"/>
    <w:rsid w:val="00A07CC8"/>
    <w:rsid w:val="00A1111A"/>
    <w:rsid w:val="00A12133"/>
    <w:rsid w:val="00A12786"/>
    <w:rsid w:val="00A13DD8"/>
    <w:rsid w:val="00A14079"/>
    <w:rsid w:val="00A17D87"/>
    <w:rsid w:val="00A20306"/>
    <w:rsid w:val="00A22519"/>
    <w:rsid w:val="00A22F16"/>
    <w:rsid w:val="00A22F47"/>
    <w:rsid w:val="00A23F3F"/>
    <w:rsid w:val="00A24959"/>
    <w:rsid w:val="00A25530"/>
    <w:rsid w:val="00A27D40"/>
    <w:rsid w:val="00A308A1"/>
    <w:rsid w:val="00A308D0"/>
    <w:rsid w:val="00A33E02"/>
    <w:rsid w:val="00A36FB3"/>
    <w:rsid w:val="00A3770D"/>
    <w:rsid w:val="00A40EC4"/>
    <w:rsid w:val="00A50F5C"/>
    <w:rsid w:val="00A52043"/>
    <w:rsid w:val="00A52393"/>
    <w:rsid w:val="00A5297B"/>
    <w:rsid w:val="00A529BA"/>
    <w:rsid w:val="00A52C26"/>
    <w:rsid w:val="00A530F4"/>
    <w:rsid w:val="00A57FDD"/>
    <w:rsid w:val="00A60D0F"/>
    <w:rsid w:val="00A60F66"/>
    <w:rsid w:val="00A619B4"/>
    <w:rsid w:val="00A632FA"/>
    <w:rsid w:val="00A67080"/>
    <w:rsid w:val="00A717B6"/>
    <w:rsid w:val="00A72839"/>
    <w:rsid w:val="00A73D81"/>
    <w:rsid w:val="00A7527D"/>
    <w:rsid w:val="00A765AE"/>
    <w:rsid w:val="00A76D44"/>
    <w:rsid w:val="00A77E8F"/>
    <w:rsid w:val="00A80720"/>
    <w:rsid w:val="00A82555"/>
    <w:rsid w:val="00A8285C"/>
    <w:rsid w:val="00A854F0"/>
    <w:rsid w:val="00A85FE4"/>
    <w:rsid w:val="00A91A20"/>
    <w:rsid w:val="00A93808"/>
    <w:rsid w:val="00A93C16"/>
    <w:rsid w:val="00A94562"/>
    <w:rsid w:val="00A94D15"/>
    <w:rsid w:val="00A9656B"/>
    <w:rsid w:val="00AA1D3A"/>
    <w:rsid w:val="00AA4F9F"/>
    <w:rsid w:val="00AA5D5C"/>
    <w:rsid w:val="00AA6108"/>
    <w:rsid w:val="00AA6979"/>
    <w:rsid w:val="00AA713C"/>
    <w:rsid w:val="00AA7E65"/>
    <w:rsid w:val="00AB1564"/>
    <w:rsid w:val="00AB5418"/>
    <w:rsid w:val="00AB7A9D"/>
    <w:rsid w:val="00AC07D0"/>
    <w:rsid w:val="00AC12FB"/>
    <w:rsid w:val="00AC1E16"/>
    <w:rsid w:val="00AC1FA6"/>
    <w:rsid w:val="00AC221E"/>
    <w:rsid w:val="00AC2991"/>
    <w:rsid w:val="00AC2B9C"/>
    <w:rsid w:val="00AC390B"/>
    <w:rsid w:val="00AC444E"/>
    <w:rsid w:val="00AC55AE"/>
    <w:rsid w:val="00AC597A"/>
    <w:rsid w:val="00AC5DDB"/>
    <w:rsid w:val="00AC681A"/>
    <w:rsid w:val="00AD272A"/>
    <w:rsid w:val="00AD286A"/>
    <w:rsid w:val="00AD2D09"/>
    <w:rsid w:val="00AD320C"/>
    <w:rsid w:val="00AD3AAF"/>
    <w:rsid w:val="00AD5B22"/>
    <w:rsid w:val="00AD61DF"/>
    <w:rsid w:val="00AE128E"/>
    <w:rsid w:val="00AE188A"/>
    <w:rsid w:val="00AE49FE"/>
    <w:rsid w:val="00AE58DE"/>
    <w:rsid w:val="00AE6205"/>
    <w:rsid w:val="00AE62CD"/>
    <w:rsid w:val="00AE69E8"/>
    <w:rsid w:val="00AF1DA6"/>
    <w:rsid w:val="00AF227A"/>
    <w:rsid w:val="00AF3DF7"/>
    <w:rsid w:val="00AF4B11"/>
    <w:rsid w:val="00AF55C4"/>
    <w:rsid w:val="00AF5B2E"/>
    <w:rsid w:val="00AF6012"/>
    <w:rsid w:val="00B0055C"/>
    <w:rsid w:val="00B02A55"/>
    <w:rsid w:val="00B02C31"/>
    <w:rsid w:val="00B05A85"/>
    <w:rsid w:val="00B0610F"/>
    <w:rsid w:val="00B077F4"/>
    <w:rsid w:val="00B07B3E"/>
    <w:rsid w:val="00B106EB"/>
    <w:rsid w:val="00B1104C"/>
    <w:rsid w:val="00B122C2"/>
    <w:rsid w:val="00B12EE1"/>
    <w:rsid w:val="00B13D6A"/>
    <w:rsid w:val="00B16201"/>
    <w:rsid w:val="00B17042"/>
    <w:rsid w:val="00B22BA9"/>
    <w:rsid w:val="00B2385C"/>
    <w:rsid w:val="00B23EEC"/>
    <w:rsid w:val="00B25366"/>
    <w:rsid w:val="00B25FCC"/>
    <w:rsid w:val="00B271D2"/>
    <w:rsid w:val="00B31CE6"/>
    <w:rsid w:val="00B34542"/>
    <w:rsid w:val="00B42A49"/>
    <w:rsid w:val="00B451CE"/>
    <w:rsid w:val="00B46963"/>
    <w:rsid w:val="00B46DF0"/>
    <w:rsid w:val="00B47677"/>
    <w:rsid w:val="00B51676"/>
    <w:rsid w:val="00B55454"/>
    <w:rsid w:val="00B554DF"/>
    <w:rsid w:val="00B57377"/>
    <w:rsid w:val="00B61DDB"/>
    <w:rsid w:val="00B6275C"/>
    <w:rsid w:val="00B632CB"/>
    <w:rsid w:val="00B637FE"/>
    <w:rsid w:val="00B64B6D"/>
    <w:rsid w:val="00B6522F"/>
    <w:rsid w:val="00B658AE"/>
    <w:rsid w:val="00B669EF"/>
    <w:rsid w:val="00B67301"/>
    <w:rsid w:val="00B67AFE"/>
    <w:rsid w:val="00B67C78"/>
    <w:rsid w:val="00B71680"/>
    <w:rsid w:val="00B71DE6"/>
    <w:rsid w:val="00B74756"/>
    <w:rsid w:val="00B75F06"/>
    <w:rsid w:val="00B76ADD"/>
    <w:rsid w:val="00B77F45"/>
    <w:rsid w:val="00B81974"/>
    <w:rsid w:val="00B821E4"/>
    <w:rsid w:val="00B82C9A"/>
    <w:rsid w:val="00B83695"/>
    <w:rsid w:val="00B8401D"/>
    <w:rsid w:val="00B910EF"/>
    <w:rsid w:val="00B92A73"/>
    <w:rsid w:val="00B93824"/>
    <w:rsid w:val="00B95496"/>
    <w:rsid w:val="00BA06FB"/>
    <w:rsid w:val="00BA0A6B"/>
    <w:rsid w:val="00BA1921"/>
    <w:rsid w:val="00BA25F6"/>
    <w:rsid w:val="00BA3D98"/>
    <w:rsid w:val="00BA4372"/>
    <w:rsid w:val="00BA442B"/>
    <w:rsid w:val="00BA480E"/>
    <w:rsid w:val="00BA736C"/>
    <w:rsid w:val="00BB1DC0"/>
    <w:rsid w:val="00BB3B71"/>
    <w:rsid w:val="00BB3D6A"/>
    <w:rsid w:val="00BB6199"/>
    <w:rsid w:val="00BB7B72"/>
    <w:rsid w:val="00BB7C62"/>
    <w:rsid w:val="00BC0B51"/>
    <w:rsid w:val="00BC17F5"/>
    <w:rsid w:val="00BC6455"/>
    <w:rsid w:val="00BC7849"/>
    <w:rsid w:val="00BD2CCC"/>
    <w:rsid w:val="00BD434B"/>
    <w:rsid w:val="00BD7E75"/>
    <w:rsid w:val="00BE31C9"/>
    <w:rsid w:val="00BE3F67"/>
    <w:rsid w:val="00BE45AA"/>
    <w:rsid w:val="00BE5C21"/>
    <w:rsid w:val="00BE6D1A"/>
    <w:rsid w:val="00BF1095"/>
    <w:rsid w:val="00BF120F"/>
    <w:rsid w:val="00BF1411"/>
    <w:rsid w:val="00BF1A8A"/>
    <w:rsid w:val="00BF26E7"/>
    <w:rsid w:val="00BF2A66"/>
    <w:rsid w:val="00BF2F7A"/>
    <w:rsid w:val="00BF3039"/>
    <w:rsid w:val="00BF3A54"/>
    <w:rsid w:val="00BF58FA"/>
    <w:rsid w:val="00BF607E"/>
    <w:rsid w:val="00C02A9B"/>
    <w:rsid w:val="00C02C28"/>
    <w:rsid w:val="00C038D4"/>
    <w:rsid w:val="00C0483C"/>
    <w:rsid w:val="00C0550D"/>
    <w:rsid w:val="00C06622"/>
    <w:rsid w:val="00C06B3E"/>
    <w:rsid w:val="00C06E1E"/>
    <w:rsid w:val="00C07257"/>
    <w:rsid w:val="00C103F7"/>
    <w:rsid w:val="00C122EE"/>
    <w:rsid w:val="00C12728"/>
    <w:rsid w:val="00C13705"/>
    <w:rsid w:val="00C14F14"/>
    <w:rsid w:val="00C14FDC"/>
    <w:rsid w:val="00C150ED"/>
    <w:rsid w:val="00C1562C"/>
    <w:rsid w:val="00C176D7"/>
    <w:rsid w:val="00C205B8"/>
    <w:rsid w:val="00C20FD5"/>
    <w:rsid w:val="00C23808"/>
    <w:rsid w:val="00C252EF"/>
    <w:rsid w:val="00C25F84"/>
    <w:rsid w:val="00C2602F"/>
    <w:rsid w:val="00C3155D"/>
    <w:rsid w:val="00C33C31"/>
    <w:rsid w:val="00C35188"/>
    <w:rsid w:val="00C35716"/>
    <w:rsid w:val="00C37678"/>
    <w:rsid w:val="00C42099"/>
    <w:rsid w:val="00C42C59"/>
    <w:rsid w:val="00C43BD5"/>
    <w:rsid w:val="00C43C47"/>
    <w:rsid w:val="00C442DD"/>
    <w:rsid w:val="00C4582D"/>
    <w:rsid w:val="00C45EB8"/>
    <w:rsid w:val="00C46FB0"/>
    <w:rsid w:val="00C4732D"/>
    <w:rsid w:val="00C54569"/>
    <w:rsid w:val="00C546F8"/>
    <w:rsid w:val="00C556F6"/>
    <w:rsid w:val="00C55F04"/>
    <w:rsid w:val="00C5659B"/>
    <w:rsid w:val="00C56701"/>
    <w:rsid w:val="00C56E9E"/>
    <w:rsid w:val="00C60C85"/>
    <w:rsid w:val="00C6118F"/>
    <w:rsid w:val="00C70D3A"/>
    <w:rsid w:val="00C72907"/>
    <w:rsid w:val="00C72D10"/>
    <w:rsid w:val="00C730DC"/>
    <w:rsid w:val="00C74988"/>
    <w:rsid w:val="00C76928"/>
    <w:rsid w:val="00C76B69"/>
    <w:rsid w:val="00C772DD"/>
    <w:rsid w:val="00C83149"/>
    <w:rsid w:val="00C84BAF"/>
    <w:rsid w:val="00C8702B"/>
    <w:rsid w:val="00C9090B"/>
    <w:rsid w:val="00C90E6D"/>
    <w:rsid w:val="00C925E3"/>
    <w:rsid w:val="00C93076"/>
    <w:rsid w:val="00C93102"/>
    <w:rsid w:val="00C957BE"/>
    <w:rsid w:val="00C9599F"/>
    <w:rsid w:val="00C9721F"/>
    <w:rsid w:val="00CA2CA9"/>
    <w:rsid w:val="00CA2F0C"/>
    <w:rsid w:val="00CA326F"/>
    <w:rsid w:val="00CA491B"/>
    <w:rsid w:val="00CA593D"/>
    <w:rsid w:val="00CA5958"/>
    <w:rsid w:val="00CA68F2"/>
    <w:rsid w:val="00CB5041"/>
    <w:rsid w:val="00CC2BF0"/>
    <w:rsid w:val="00CC5CB9"/>
    <w:rsid w:val="00CC6B89"/>
    <w:rsid w:val="00CD0007"/>
    <w:rsid w:val="00CD7E3F"/>
    <w:rsid w:val="00CE153E"/>
    <w:rsid w:val="00CE2530"/>
    <w:rsid w:val="00CE3F24"/>
    <w:rsid w:val="00CE567C"/>
    <w:rsid w:val="00CE709D"/>
    <w:rsid w:val="00CF3545"/>
    <w:rsid w:val="00CF4389"/>
    <w:rsid w:val="00CF5B75"/>
    <w:rsid w:val="00D01826"/>
    <w:rsid w:val="00D03166"/>
    <w:rsid w:val="00D04BE1"/>
    <w:rsid w:val="00D06138"/>
    <w:rsid w:val="00D06149"/>
    <w:rsid w:val="00D07FAC"/>
    <w:rsid w:val="00D152DB"/>
    <w:rsid w:val="00D17441"/>
    <w:rsid w:val="00D23141"/>
    <w:rsid w:val="00D233DF"/>
    <w:rsid w:val="00D23C49"/>
    <w:rsid w:val="00D248A4"/>
    <w:rsid w:val="00D24D72"/>
    <w:rsid w:val="00D31514"/>
    <w:rsid w:val="00D35922"/>
    <w:rsid w:val="00D36011"/>
    <w:rsid w:val="00D36531"/>
    <w:rsid w:val="00D36A2F"/>
    <w:rsid w:val="00D45C5A"/>
    <w:rsid w:val="00D4674C"/>
    <w:rsid w:val="00D50D46"/>
    <w:rsid w:val="00D56AD9"/>
    <w:rsid w:val="00D63DE0"/>
    <w:rsid w:val="00D671CE"/>
    <w:rsid w:val="00D712EB"/>
    <w:rsid w:val="00D82800"/>
    <w:rsid w:val="00D8375A"/>
    <w:rsid w:val="00D946E8"/>
    <w:rsid w:val="00D9546A"/>
    <w:rsid w:val="00D959BA"/>
    <w:rsid w:val="00D96260"/>
    <w:rsid w:val="00D96E7D"/>
    <w:rsid w:val="00DA43A4"/>
    <w:rsid w:val="00DA447F"/>
    <w:rsid w:val="00DA501E"/>
    <w:rsid w:val="00DA586C"/>
    <w:rsid w:val="00DA5BDA"/>
    <w:rsid w:val="00DA6460"/>
    <w:rsid w:val="00DA65B7"/>
    <w:rsid w:val="00DB00A5"/>
    <w:rsid w:val="00DB0194"/>
    <w:rsid w:val="00DB31EA"/>
    <w:rsid w:val="00DB37DC"/>
    <w:rsid w:val="00DB3F3C"/>
    <w:rsid w:val="00DB40B6"/>
    <w:rsid w:val="00DB55E9"/>
    <w:rsid w:val="00DB7D54"/>
    <w:rsid w:val="00DC09A2"/>
    <w:rsid w:val="00DD5194"/>
    <w:rsid w:val="00DD5295"/>
    <w:rsid w:val="00DD6931"/>
    <w:rsid w:val="00DE262F"/>
    <w:rsid w:val="00DE6663"/>
    <w:rsid w:val="00DE6C95"/>
    <w:rsid w:val="00DE6EC6"/>
    <w:rsid w:val="00DF0CF9"/>
    <w:rsid w:val="00DF1187"/>
    <w:rsid w:val="00DF198F"/>
    <w:rsid w:val="00DF3008"/>
    <w:rsid w:val="00DF37C5"/>
    <w:rsid w:val="00DF3C27"/>
    <w:rsid w:val="00DF41A9"/>
    <w:rsid w:val="00DF4C2D"/>
    <w:rsid w:val="00DF5152"/>
    <w:rsid w:val="00DF51AE"/>
    <w:rsid w:val="00DF6BE8"/>
    <w:rsid w:val="00E00AA1"/>
    <w:rsid w:val="00E0326B"/>
    <w:rsid w:val="00E03622"/>
    <w:rsid w:val="00E0389F"/>
    <w:rsid w:val="00E05B76"/>
    <w:rsid w:val="00E073C9"/>
    <w:rsid w:val="00E130EA"/>
    <w:rsid w:val="00E16532"/>
    <w:rsid w:val="00E20976"/>
    <w:rsid w:val="00E20997"/>
    <w:rsid w:val="00E21E09"/>
    <w:rsid w:val="00E24212"/>
    <w:rsid w:val="00E24449"/>
    <w:rsid w:val="00E24E80"/>
    <w:rsid w:val="00E259B1"/>
    <w:rsid w:val="00E26C53"/>
    <w:rsid w:val="00E27381"/>
    <w:rsid w:val="00E3113B"/>
    <w:rsid w:val="00E317DA"/>
    <w:rsid w:val="00E31DC9"/>
    <w:rsid w:val="00E3391F"/>
    <w:rsid w:val="00E401DE"/>
    <w:rsid w:val="00E42CD0"/>
    <w:rsid w:val="00E45FBA"/>
    <w:rsid w:val="00E4665B"/>
    <w:rsid w:val="00E50244"/>
    <w:rsid w:val="00E51B31"/>
    <w:rsid w:val="00E6146E"/>
    <w:rsid w:val="00E640A9"/>
    <w:rsid w:val="00E65D9F"/>
    <w:rsid w:val="00E67FA5"/>
    <w:rsid w:val="00E7029A"/>
    <w:rsid w:val="00E7075D"/>
    <w:rsid w:val="00E711A6"/>
    <w:rsid w:val="00E7177B"/>
    <w:rsid w:val="00E724E0"/>
    <w:rsid w:val="00E72D44"/>
    <w:rsid w:val="00E73D97"/>
    <w:rsid w:val="00E836E0"/>
    <w:rsid w:val="00E84597"/>
    <w:rsid w:val="00E86808"/>
    <w:rsid w:val="00E86D50"/>
    <w:rsid w:val="00E93A9F"/>
    <w:rsid w:val="00E942D3"/>
    <w:rsid w:val="00E94570"/>
    <w:rsid w:val="00E9482D"/>
    <w:rsid w:val="00E94F06"/>
    <w:rsid w:val="00E95229"/>
    <w:rsid w:val="00E965EE"/>
    <w:rsid w:val="00E97DAD"/>
    <w:rsid w:val="00EA0238"/>
    <w:rsid w:val="00EA05B1"/>
    <w:rsid w:val="00EA21BD"/>
    <w:rsid w:val="00EA2449"/>
    <w:rsid w:val="00EA47F1"/>
    <w:rsid w:val="00EB0570"/>
    <w:rsid w:val="00EB13EC"/>
    <w:rsid w:val="00EB201E"/>
    <w:rsid w:val="00EB5F1A"/>
    <w:rsid w:val="00EB70CA"/>
    <w:rsid w:val="00EB719F"/>
    <w:rsid w:val="00EB7565"/>
    <w:rsid w:val="00EB7672"/>
    <w:rsid w:val="00EC06B4"/>
    <w:rsid w:val="00EC0E95"/>
    <w:rsid w:val="00EC16FC"/>
    <w:rsid w:val="00EC17EF"/>
    <w:rsid w:val="00EC433A"/>
    <w:rsid w:val="00EC5854"/>
    <w:rsid w:val="00EC594B"/>
    <w:rsid w:val="00EC5B49"/>
    <w:rsid w:val="00EC7AAA"/>
    <w:rsid w:val="00ED0746"/>
    <w:rsid w:val="00ED0F2D"/>
    <w:rsid w:val="00ED1318"/>
    <w:rsid w:val="00ED1A4F"/>
    <w:rsid w:val="00ED279A"/>
    <w:rsid w:val="00ED314F"/>
    <w:rsid w:val="00ED3211"/>
    <w:rsid w:val="00ED34B1"/>
    <w:rsid w:val="00ED4DE2"/>
    <w:rsid w:val="00ED5F5B"/>
    <w:rsid w:val="00ED6529"/>
    <w:rsid w:val="00ED6FB8"/>
    <w:rsid w:val="00EE4332"/>
    <w:rsid w:val="00EE4569"/>
    <w:rsid w:val="00EE4BBD"/>
    <w:rsid w:val="00EE6431"/>
    <w:rsid w:val="00EE794F"/>
    <w:rsid w:val="00EF3608"/>
    <w:rsid w:val="00EF57C3"/>
    <w:rsid w:val="00F02EF3"/>
    <w:rsid w:val="00F0439D"/>
    <w:rsid w:val="00F05BF9"/>
    <w:rsid w:val="00F10A72"/>
    <w:rsid w:val="00F159B3"/>
    <w:rsid w:val="00F16D09"/>
    <w:rsid w:val="00F17C9C"/>
    <w:rsid w:val="00F216FC"/>
    <w:rsid w:val="00F23EAB"/>
    <w:rsid w:val="00F2594C"/>
    <w:rsid w:val="00F25E46"/>
    <w:rsid w:val="00F26018"/>
    <w:rsid w:val="00F2642B"/>
    <w:rsid w:val="00F26B4E"/>
    <w:rsid w:val="00F26F45"/>
    <w:rsid w:val="00F30945"/>
    <w:rsid w:val="00F30FB8"/>
    <w:rsid w:val="00F334DE"/>
    <w:rsid w:val="00F33A7B"/>
    <w:rsid w:val="00F34342"/>
    <w:rsid w:val="00F34B10"/>
    <w:rsid w:val="00F37526"/>
    <w:rsid w:val="00F41BAB"/>
    <w:rsid w:val="00F4270A"/>
    <w:rsid w:val="00F43ACD"/>
    <w:rsid w:val="00F46ACB"/>
    <w:rsid w:val="00F50CD6"/>
    <w:rsid w:val="00F51370"/>
    <w:rsid w:val="00F54D44"/>
    <w:rsid w:val="00F56B1A"/>
    <w:rsid w:val="00F575C9"/>
    <w:rsid w:val="00F61F81"/>
    <w:rsid w:val="00F6391B"/>
    <w:rsid w:val="00F64F73"/>
    <w:rsid w:val="00F72D67"/>
    <w:rsid w:val="00F758CA"/>
    <w:rsid w:val="00F75AD4"/>
    <w:rsid w:val="00F76362"/>
    <w:rsid w:val="00F771D5"/>
    <w:rsid w:val="00F815CE"/>
    <w:rsid w:val="00F8463B"/>
    <w:rsid w:val="00F8515A"/>
    <w:rsid w:val="00F85DFF"/>
    <w:rsid w:val="00F85EFA"/>
    <w:rsid w:val="00F87FAA"/>
    <w:rsid w:val="00F92886"/>
    <w:rsid w:val="00F942D1"/>
    <w:rsid w:val="00F95490"/>
    <w:rsid w:val="00FA1DDF"/>
    <w:rsid w:val="00FA3298"/>
    <w:rsid w:val="00FB0B4D"/>
    <w:rsid w:val="00FB0FC1"/>
    <w:rsid w:val="00FB1715"/>
    <w:rsid w:val="00FB2120"/>
    <w:rsid w:val="00FB239D"/>
    <w:rsid w:val="00FB2F05"/>
    <w:rsid w:val="00FB690A"/>
    <w:rsid w:val="00FC104F"/>
    <w:rsid w:val="00FC18A0"/>
    <w:rsid w:val="00FD4A37"/>
    <w:rsid w:val="00FD55FF"/>
    <w:rsid w:val="00FD729E"/>
    <w:rsid w:val="00FD779F"/>
    <w:rsid w:val="00FD7F70"/>
    <w:rsid w:val="00FE22FA"/>
    <w:rsid w:val="00FE263A"/>
    <w:rsid w:val="00FE2E34"/>
    <w:rsid w:val="00FE3C5F"/>
    <w:rsid w:val="00FE42A4"/>
    <w:rsid w:val="00FE4AED"/>
    <w:rsid w:val="00FE6E95"/>
    <w:rsid w:val="00FF0F84"/>
    <w:rsid w:val="00FF124D"/>
    <w:rsid w:val="00FF3F6B"/>
    <w:rsid w:val="00FF59A6"/>
    <w:rsid w:val="00FF5E5D"/>
    <w:rsid w:val="00FF71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814FFAF"/>
  <w15:docId w15:val="{D7F7C2EB-0F95-4C11-ACD4-DFEADB91D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0550D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EA21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A21BD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EA21B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A21BD"/>
    <w:rPr>
      <w:sz w:val="24"/>
      <w:szCs w:val="24"/>
    </w:rPr>
  </w:style>
  <w:style w:type="paragraph" w:styleId="Tekstdymka">
    <w:name w:val="Balloon Text"/>
    <w:basedOn w:val="Normalny"/>
    <w:link w:val="TekstdymkaZnak"/>
    <w:rsid w:val="00BF141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BF1411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9429D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429D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9429D3"/>
  </w:style>
  <w:style w:type="paragraph" w:styleId="Tematkomentarza">
    <w:name w:val="annotation subject"/>
    <w:basedOn w:val="Tekstkomentarza"/>
    <w:next w:val="Tekstkomentarza"/>
    <w:link w:val="TematkomentarzaZnak"/>
    <w:rsid w:val="009429D3"/>
    <w:rPr>
      <w:b/>
      <w:bCs/>
    </w:rPr>
  </w:style>
  <w:style w:type="character" w:customStyle="1" w:styleId="TematkomentarzaZnak">
    <w:name w:val="Temat komentarza Znak"/>
    <w:link w:val="Tematkomentarza"/>
    <w:rsid w:val="009429D3"/>
    <w:rPr>
      <w:b/>
      <w:bCs/>
    </w:rPr>
  </w:style>
  <w:style w:type="paragraph" w:styleId="Akapitzlist">
    <w:name w:val="List Paragraph"/>
    <w:aliases w:val="Styl moj,aotm_załączniki,Akapit z listą1,Akapit z listą11,List Paragraph1,Bullet1,Table Legend,BulletPoints,podpunkt ankietyy,5 - W tabeli,Dot pt,F5 List Paragraph,No Spacing1,List Paragraph Char Char Char,Indicator Text,Numbered Para 1"/>
    <w:basedOn w:val="Normalny"/>
    <w:link w:val="AkapitzlistZnak"/>
    <w:uiPriority w:val="34"/>
    <w:qFormat/>
    <w:rsid w:val="0072633C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unhideWhenUsed/>
    <w:rsid w:val="00C122EE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122EE"/>
    <w:rPr>
      <w:rFonts w:ascii="Calibri" w:eastAsiaTheme="minorHAnsi" w:hAnsi="Calibri" w:cstheme="minorBidi"/>
      <w:sz w:val="22"/>
      <w:szCs w:val="21"/>
      <w:lang w:eastAsia="en-US"/>
    </w:rPr>
  </w:style>
  <w:style w:type="paragraph" w:styleId="Poprawka">
    <w:name w:val="Revision"/>
    <w:hidden/>
    <w:uiPriority w:val="99"/>
    <w:semiHidden/>
    <w:rsid w:val="00C038D4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1E35B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1E35B2"/>
  </w:style>
  <w:style w:type="character" w:styleId="Odwoanieprzypisukocowego">
    <w:name w:val="endnote reference"/>
    <w:basedOn w:val="Domylnaczcionkaakapitu"/>
    <w:semiHidden/>
    <w:unhideWhenUsed/>
    <w:rsid w:val="001E35B2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8A4600"/>
    <w:rPr>
      <w:i/>
      <w:iCs/>
    </w:rPr>
  </w:style>
  <w:style w:type="character" w:styleId="Hipercze">
    <w:name w:val="Hyperlink"/>
    <w:basedOn w:val="Domylnaczcionkaakapitu"/>
    <w:unhideWhenUsed/>
    <w:rsid w:val="00AC07D0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C07D0"/>
    <w:rPr>
      <w:color w:val="605E5C"/>
      <w:shd w:val="clear" w:color="auto" w:fill="E1DFDD"/>
    </w:rPr>
  </w:style>
  <w:style w:type="paragraph" w:customStyle="1" w:styleId="Default">
    <w:name w:val="Default"/>
    <w:rsid w:val="00A13DD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kapitzlistZnak">
    <w:name w:val="Akapit z listą Znak"/>
    <w:aliases w:val="Styl moj Znak,aotm_załączniki Znak,Akapit z listą1 Znak,Akapit z listą11 Znak,List Paragraph1 Znak,Bullet1 Znak,Table Legend Znak,BulletPoints Znak,podpunkt ankietyy Znak,5 - W tabeli Znak,Dot pt Znak,F5 List Paragraph Znak"/>
    <w:basedOn w:val="Domylnaczcionkaakapitu"/>
    <w:link w:val="Akapitzlist"/>
    <w:uiPriority w:val="34"/>
    <w:qFormat/>
    <w:rsid w:val="0003773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49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1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1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sisl xmlns:xsi="http://www.w3.org/2001/XMLSchema-instance" xmlns:xsd="http://www.w3.org/2001/XMLSchema" xmlns="http://www.boldonjames.com/2008/01/sie/internal/label" sislVersion="0" policy="a10f9ac0-5937-4b4f-b459-96aedd9ed2c5" origin="userSelected">
  <element uid="9920fcc9-9f43-4d43-9e3e-b98a219cfd55" value=""/>
</sisl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1AE23A69AF7CD498862FEE111CD5AFA" ma:contentTypeVersion="12" ma:contentTypeDescription="Utwórz nowy dokument." ma:contentTypeScope="" ma:versionID="b1aac72c258bbc5ed8ad8da766367ef5">
  <xsd:schema xmlns:xsd="http://www.w3.org/2001/XMLSchema" xmlns:xs="http://www.w3.org/2001/XMLSchema" xmlns:p="http://schemas.microsoft.com/office/2006/metadata/properties" xmlns:ns2="a0b6778b-5d65-46de-9db4-ae21e6779d04" xmlns:ns3="22cee9b5-ac5c-4abb-a493-eb2482fc51cf" targetNamespace="http://schemas.microsoft.com/office/2006/metadata/properties" ma:root="true" ma:fieldsID="f83c8cc41d8f3b5e903be8fbc80075bf" ns2:_="" ns3:_="">
    <xsd:import namespace="a0b6778b-5d65-46de-9db4-ae21e6779d04"/>
    <xsd:import namespace="22cee9b5-ac5c-4abb-a493-eb2482fc51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b6778b-5d65-46de-9db4-ae21e6779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cee9b5-ac5c-4abb-a493-eb2482fc51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EAC5AE1-DC5A-490C-B501-2D8A51E03D5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FA9F6E9-9972-47E9-91EC-60B4995C68E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926DC5B-0C54-4E42-A87E-5F7336E0D771}">
  <ds:schemaRefs>
    <ds:schemaRef ds:uri="http://www.w3.org/2001/XMLSchema"/>
    <ds:schemaRef ds:uri="http://www.boldonjames.com/2008/01/sie/internal/label"/>
  </ds:schemaRefs>
</ds:datastoreItem>
</file>

<file path=customXml/itemProps4.xml><?xml version="1.0" encoding="utf-8"?>
<ds:datastoreItem xmlns:ds="http://schemas.openxmlformats.org/officeDocument/2006/customXml" ds:itemID="{CC9303EA-4FC4-46F3-81ED-22397A19780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2C99A8A-BC8C-4E74-990E-C039E4F66F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b6778b-5d65-46de-9db4-ae21e6779d04"/>
    <ds:schemaRef ds:uri="22cee9b5-ac5c-4abb-a493-eb2482fc51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2007</Words>
  <Characters>12046</Characters>
  <Application>Microsoft Office Word</Application>
  <DocSecurity>0</DocSecurity>
  <Lines>100</Lines>
  <Paragraphs>28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Majcherek, Dawid</dc:creator>
  <cp:lastModifiedBy>Rudek Paulina</cp:lastModifiedBy>
  <cp:revision>3</cp:revision>
  <cp:lastPrinted>2023-03-30T21:44:00Z</cp:lastPrinted>
  <dcterms:created xsi:type="dcterms:W3CDTF">2023-09-29T13:53:00Z</dcterms:created>
  <dcterms:modified xsi:type="dcterms:W3CDTF">2023-10-06T09:24:00Z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bf00c69a-1567-4fe8-a10a-3b11fdd01ac0</vt:lpwstr>
  </property>
  <property fmtid="{D5CDD505-2E9C-101B-9397-08002B2CF9AE}" pid="3" name="bjSaver">
    <vt:lpwstr>B7UflNl/bcH8W8Rupi3yzPYYKqvuGBU1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policy="a10f9ac0-5937-4b4f-b459-96aedd9ed2c5" origin="userSelected" xmlns="http://www.boldonj</vt:lpwstr>
  </property>
  <property fmtid="{D5CDD505-2E9C-101B-9397-08002B2CF9AE}" pid="5" name="bjDocumentLabelXML-0">
    <vt:lpwstr>ames.com/2008/01/sie/internal/label"&gt;&lt;element uid="9920fcc9-9f43-4d43-9e3e-b98a219cfd55" value="" /&gt;&lt;/sisl&gt;</vt:lpwstr>
  </property>
  <property fmtid="{D5CDD505-2E9C-101B-9397-08002B2CF9AE}" pid="6" name="bjDocumentSecurityLabel">
    <vt:lpwstr>Not Classified</vt:lpwstr>
  </property>
  <property fmtid="{D5CDD505-2E9C-101B-9397-08002B2CF9AE}" pid="7" name="ContentTypeId">
    <vt:lpwstr>0x010100E1AE23A69AF7CD498862FEE111CD5AFA</vt:lpwstr>
  </property>
  <property fmtid="{D5CDD505-2E9C-101B-9397-08002B2CF9AE}" pid="8" name="MediaServiceImageTags">
    <vt:lpwstr/>
  </property>
</Properties>
</file>